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8E94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jc w:val="both"/>
        <w:textAlignment w:val="auto"/>
        <w:rPr>
          <w:rFonts w:hint="eastAsia" w:eastAsia="黑体"/>
          <w:b/>
          <w:color w:val="auto"/>
          <w:sz w:val="24"/>
          <w:szCs w:val="11"/>
          <w:highlight w:val="none"/>
        </w:rPr>
      </w:pPr>
    </w:p>
    <w:p w14:paraId="4E56AE4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jc w:val="both"/>
        <w:textAlignment w:val="auto"/>
        <w:rPr>
          <w:rFonts w:hint="eastAsia" w:eastAsia="黑体"/>
          <w:b/>
          <w:color w:val="auto"/>
          <w:sz w:val="24"/>
          <w:szCs w:val="11"/>
          <w:highlight w:val="none"/>
        </w:rPr>
      </w:pPr>
      <w:r>
        <w:rPr>
          <w:rFonts w:hint="eastAsia" w:eastAsia="黑体"/>
          <w:b/>
          <w:color w:val="auto"/>
          <w:sz w:val="24"/>
          <w:szCs w:val="11"/>
          <w:highlight w:val="none"/>
        </w:rPr>
        <w:t>投稿前请仔细阅读本规范，严格按照要求撰写和排版。</w:t>
      </w:r>
    </w:p>
    <w:p w14:paraId="7B40F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textAlignment w:val="auto"/>
        <w:rPr>
          <w:rFonts w:hint="eastAsia"/>
          <w:color w:val="auto"/>
          <w:highlight w:val="none"/>
        </w:rPr>
      </w:pPr>
      <w:r>
        <w:rPr>
          <w:rFonts w:hint="eastAsia"/>
          <w:color w:val="auto"/>
          <w:szCs w:val="21"/>
          <w:highlight w:val="none"/>
        </w:rPr>
        <w:t>请作者通过我刊网站http</w:t>
      </w:r>
      <w:r>
        <w:rPr>
          <w:rFonts w:hint="eastAsia"/>
          <w:color w:val="auto"/>
          <w:szCs w:val="21"/>
          <w:highlight w:val="none"/>
          <w:lang w:val="en-US" w:eastAsia="zh-CN"/>
        </w:rPr>
        <w:t>:</w:t>
      </w:r>
      <w:r>
        <w:rPr>
          <w:rFonts w:hint="eastAsia"/>
          <w:color w:val="auto"/>
          <w:szCs w:val="21"/>
          <w:highlight w:val="none"/>
        </w:rPr>
        <w:t>//snm.usst.edu.cn投稿。</w:t>
      </w:r>
      <w:r>
        <w:rPr>
          <w:rFonts w:hint="eastAsia"/>
          <w:b w:val="0"/>
          <w:bCs w:val="0"/>
          <w:color w:val="auto"/>
          <w:szCs w:val="21"/>
          <w:highlight w:val="none"/>
        </w:rPr>
        <w:t>来稿须以Microsoft Word文档提交（.doc或.docx），</w:t>
      </w:r>
      <w:r>
        <w:rPr>
          <w:rFonts w:hint="eastAsia"/>
          <w:b/>
          <w:bCs/>
          <w:color w:val="auto"/>
          <w:szCs w:val="21"/>
          <w:highlight w:val="none"/>
          <w:u w:val="single"/>
        </w:rPr>
        <w:t>不接受PDF格式</w:t>
      </w:r>
      <w:r>
        <w:rPr>
          <w:rFonts w:hint="eastAsia"/>
          <w:b/>
          <w:bCs/>
          <w:color w:val="auto"/>
          <w:szCs w:val="21"/>
          <w:highlight w:val="none"/>
        </w:rPr>
        <w:t>。</w:t>
      </w:r>
      <w:r>
        <w:rPr>
          <w:rFonts w:hint="eastAsia"/>
          <w:color w:val="auto"/>
          <w:szCs w:val="21"/>
          <w:highlight w:val="none"/>
        </w:rPr>
        <w:t>投稿同时，请一并上传从本刊官网下载的</w:t>
      </w:r>
      <w:r>
        <w:rPr>
          <w:rFonts w:hint="eastAsia"/>
          <w:b/>
          <w:bCs/>
          <w:color w:val="auto"/>
          <w:szCs w:val="21"/>
          <w:highlight w:val="none"/>
          <w:u w:val="single"/>
        </w:rPr>
        <w:t>《版权转让协议》模板，由全体作者签字后上传至系统</w:t>
      </w:r>
      <w:r>
        <w:rPr>
          <w:rFonts w:hint="eastAsia"/>
          <w:b/>
          <w:bCs/>
          <w:color w:val="auto"/>
          <w:szCs w:val="21"/>
          <w:highlight w:val="none"/>
        </w:rPr>
        <w:t>。</w:t>
      </w:r>
    </w:p>
    <w:p w14:paraId="29134EBA">
      <w:pPr>
        <w:pStyle w:val="10"/>
        <w:jc w:val="both"/>
        <w:rPr>
          <w:rFonts w:hint="eastAsia" w:eastAsia="黑体"/>
          <w:b/>
          <w:color w:val="auto"/>
          <w:sz w:val="24"/>
          <w:szCs w:val="11"/>
          <w:highlight w:val="none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133985</wp:posOffset>
                </wp:positionV>
                <wp:extent cx="635381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1505" y="3028950"/>
                          <a:ext cx="635381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8pt;margin-top:10.55pt;height:0pt;width:500.3pt;z-index:251660288;mso-width-relative:page;mso-height-relative:page;" filled="f" stroked="t" coordsize="21600,21600" o:gfxdata="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R8hpP1gAAAAgBAAAPAAAAAAAAAAEAIAAAACIAAABkcnMvZG93bnJldi54bWxQSwEC&#10;FAAUAAAACACHTuJAxsKO7vYBAADHAwAADgAAAAAAAAABACAAAAAlAQAAZHJzL2Uyb0RvYy54bWxQ&#10;SwUGAAAAAAYABgBZAQAAjQUAAAAA&#10;">
                <v:fill on="f" focussize="0,0"/>
                <v:stroke weight="0.25pt" color="#BFBFBF [2412]" joinstyle="round"/>
                <v:imagedata o:title=""/>
                <o:lock v:ext="edit" aspectratio="f"/>
              </v:line>
            </w:pict>
          </mc:Fallback>
        </mc:AlternateContent>
      </w:r>
    </w:p>
    <w:p w14:paraId="6B76DF13">
      <w:pPr>
        <w:pStyle w:val="10"/>
        <w:jc w:val="both"/>
        <w:rPr>
          <w:rFonts w:eastAsia="黑体"/>
          <w:bCs/>
          <w:color w:val="auto"/>
          <w:sz w:val="44"/>
          <w:highlight w:val="none"/>
        </w:rPr>
      </w:pPr>
    </w:p>
    <w:p w14:paraId="7697A17C">
      <w:pPr>
        <w:pStyle w:val="10"/>
        <w:rPr>
          <w:rFonts w:hint="default" w:eastAsia="黑体"/>
          <w:bCs/>
          <w:color w:val="auto"/>
          <w:sz w:val="44"/>
          <w:highlight w:val="none"/>
          <w:lang w:val="en-US" w:eastAsia="zh-CN"/>
        </w:rPr>
      </w:pPr>
      <w:r>
        <w:rPr>
          <w:rFonts w:hint="eastAsia" w:eastAsia="黑体"/>
          <w:bCs/>
          <w:color w:val="auto"/>
          <w:sz w:val="44"/>
          <w:highlight w:val="none"/>
        </w:rPr>
        <w:t>《有色金属材料与工程》</w:t>
      </w:r>
      <w:r>
        <w:rPr>
          <w:rFonts w:hint="eastAsia" w:eastAsia="黑体"/>
          <w:bCs/>
          <w:color w:val="auto"/>
          <w:sz w:val="44"/>
          <w:highlight w:val="none"/>
          <w:lang w:val="en-US" w:eastAsia="zh-CN"/>
        </w:rPr>
        <w:t>投稿模板</w:t>
      </w:r>
    </w:p>
    <w:p w14:paraId="7697A17D">
      <w:pPr>
        <w:jc w:val="center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李  磊</w:t>
      </w:r>
      <w:r>
        <w:rPr>
          <w:rFonts w:hint="eastAsia" w:ascii="宋体" w:hAnsi="宋体"/>
          <w:color w:val="auto"/>
          <w:sz w:val="28"/>
          <w:szCs w:val="28"/>
          <w:highlight w:val="none"/>
          <w:vertAlign w:val="superscript"/>
        </w:rPr>
        <w:t>1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，韩梅梅</w:t>
      </w:r>
      <w:r>
        <w:rPr>
          <w:rFonts w:hint="eastAsia" w:ascii="宋体" w:hAnsi="宋体"/>
          <w:color w:val="auto"/>
          <w:sz w:val="28"/>
          <w:szCs w:val="28"/>
          <w:highlight w:val="none"/>
          <w:vertAlign w:val="superscript"/>
        </w:rPr>
        <w:t xml:space="preserve">2 </w:t>
      </w:r>
    </w:p>
    <w:p w14:paraId="7697A17F">
      <w:pPr>
        <w:jc w:val="center"/>
        <w:rPr>
          <w:rFonts w:hint="eastAsia" w:eastAsia="宋体"/>
          <w:color w:val="auto"/>
          <w:szCs w:val="21"/>
          <w:highlight w:val="none"/>
          <w:lang w:eastAsia="zh-CN"/>
        </w:rPr>
      </w:pPr>
      <w:r>
        <w:rPr>
          <w:rFonts w:hint="eastAsia"/>
          <w:color w:val="auto"/>
          <w:szCs w:val="21"/>
          <w:highlight w:val="none"/>
          <w:lang w:eastAsia="zh-CN"/>
        </w:rPr>
        <w:t>（</w:t>
      </w:r>
      <w:r>
        <w:rPr>
          <w:rFonts w:hint="eastAsia"/>
          <w:color w:val="auto"/>
          <w:szCs w:val="21"/>
          <w:highlight w:val="none"/>
        </w:rPr>
        <w:t>1. 上海理工大学 材料科学与工程学院，上海 200093；2. 铜陵有色金属集团股份有限公司，安徽 铜陵 244000</w:t>
      </w:r>
      <w:r>
        <w:rPr>
          <w:rFonts w:hint="eastAsia"/>
          <w:color w:val="auto"/>
          <w:szCs w:val="21"/>
          <w:highlight w:val="none"/>
          <w:lang w:eastAsia="zh-CN"/>
        </w:rPr>
        <w:t>）</w:t>
      </w:r>
    </w:p>
    <w:p w14:paraId="7697A181">
      <w:pPr>
        <w:jc w:val="center"/>
        <w:rPr>
          <w:color w:val="auto"/>
          <w:szCs w:val="21"/>
          <w:highlight w:val="none"/>
        </w:rPr>
      </w:pPr>
    </w:p>
    <w:p w14:paraId="7697A182">
      <w:pPr>
        <w:ind w:left="420" w:right="420" w:firstLine="11"/>
        <w:rPr>
          <w:rFonts w:hint="default" w:eastAsia="黑体"/>
          <w:bCs/>
          <w:color w:val="auto"/>
          <w:szCs w:val="21"/>
          <w:highlight w:val="none"/>
          <w:lang w:val="en-US" w:eastAsia="zh-CN"/>
        </w:rPr>
      </w:pPr>
      <w:r>
        <w:rPr>
          <w:rFonts w:hint="eastAsia" w:eastAsia="黑体"/>
          <w:b/>
          <w:bCs/>
          <w:color w:val="auto"/>
          <w:szCs w:val="21"/>
          <w:highlight w:val="none"/>
        </w:rPr>
        <w:t>摘</w:t>
      </w:r>
      <w:r>
        <w:rPr>
          <w:rFonts w:eastAsia="黑体"/>
          <w:b/>
          <w:bCs/>
          <w:color w:val="auto"/>
          <w:szCs w:val="21"/>
          <w:highlight w:val="none"/>
        </w:rPr>
        <w:t xml:space="preserve">  </w:t>
      </w:r>
      <w:r>
        <w:rPr>
          <w:rFonts w:hint="eastAsia" w:eastAsia="黑体"/>
          <w:b/>
          <w:bCs/>
          <w:color w:val="auto"/>
          <w:szCs w:val="21"/>
          <w:highlight w:val="none"/>
        </w:rPr>
        <w:t>要</w:t>
      </w:r>
      <w:r>
        <w:rPr>
          <w:rFonts w:hint="eastAsia" w:eastAsia="黑体"/>
          <w:b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 w:eastAsia="黑体"/>
          <w:bCs/>
          <w:color w:val="auto"/>
          <w:szCs w:val="21"/>
          <w:highlight w:val="none"/>
          <w:lang w:val="en-US" w:eastAsia="zh-CN"/>
        </w:rPr>
        <w:t>请按目的、方法、结果与结论四要素撰写摘要，字数不少于 30</w:t>
      </w:r>
      <w:bookmarkStart w:id="2" w:name="_GoBack"/>
      <w:bookmarkEnd w:id="2"/>
      <w:r>
        <w:rPr>
          <w:rFonts w:hint="eastAsia" w:eastAsia="黑体"/>
          <w:bCs/>
          <w:color w:val="auto"/>
          <w:szCs w:val="21"/>
          <w:highlight w:val="none"/>
          <w:lang w:val="en-US" w:eastAsia="zh-CN"/>
        </w:rPr>
        <w:t>0 字。</w:t>
      </w:r>
    </w:p>
    <w:p w14:paraId="7697A183">
      <w:pPr>
        <w:ind w:left="420" w:right="420" w:firstLine="11"/>
        <w:rPr>
          <w:rFonts w:hint="eastAsia" w:eastAsia="宋体"/>
          <w:color w:val="auto"/>
          <w:szCs w:val="21"/>
          <w:highlight w:val="none"/>
          <w:lang w:eastAsia="zh-CN"/>
        </w:rPr>
      </w:pPr>
      <w:r>
        <w:rPr>
          <w:rFonts w:hint="eastAsia" w:eastAsia="黑体"/>
          <w:bCs/>
          <w:color w:val="auto"/>
          <w:szCs w:val="21"/>
          <w:highlight w:val="none"/>
        </w:rPr>
        <w:t>关键词</w:t>
      </w:r>
      <w:r>
        <w:rPr>
          <w:rFonts w:hint="eastAsia" w:eastAsia="黑体"/>
          <w:bCs/>
          <w:color w:val="auto"/>
          <w:szCs w:val="21"/>
          <w:highlight w:val="none"/>
          <w:lang w:eastAsia="zh-CN"/>
        </w:rPr>
        <w:t>：</w:t>
      </w:r>
      <w:r>
        <w:rPr>
          <w:rFonts w:hint="eastAsia"/>
          <w:bCs/>
          <w:color w:val="auto"/>
          <w:szCs w:val="21"/>
          <w:highlight w:val="none"/>
        </w:rPr>
        <w:t>镧系合金；制备；高强度；力学性能；表面粗糙度</w:t>
      </w:r>
      <w:r>
        <w:rPr>
          <w:rFonts w:hint="eastAsia"/>
          <w:bCs/>
          <w:color w:val="auto"/>
          <w:szCs w:val="21"/>
          <w:highlight w:val="none"/>
          <w:lang w:eastAsia="zh-CN"/>
        </w:rPr>
        <w:t>（</w:t>
      </w:r>
      <w:r>
        <w:rPr>
          <w:rFonts w:hint="eastAsia"/>
          <w:bCs/>
          <w:color w:val="auto"/>
          <w:szCs w:val="21"/>
          <w:highlight w:val="none"/>
          <w:lang w:val="en-US" w:eastAsia="zh-CN"/>
        </w:rPr>
        <w:t>5个关键词</w:t>
      </w:r>
      <w:r>
        <w:rPr>
          <w:rFonts w:hint="eastAsia"/>
          <w:bCs/>
          <w:color w:val="auto"/>
          <w:szCs w:val="21"/>
          <w:highlight w:val="none"/>
          <w:lang w:eastAsia="zh-CN"/>
        </w:rPr>
        <w:t>）</w:t>
      </w:r>
    </w:p>
    <w:p w14:paraId="7697A184">
      <w:pPr>
        <w:ind w:left="420" w:right="420" w:firstLine="11"/>
        <w:rPr>
          <w:bCs/>
          <w:color w:val="auto"/>
          <w:szCs w:val="21"/>
          <w:highlight w:val="none"/>
        </w:rPr>
      </w:pPr>
      <w:r>
        <w:rPr>
          <w:rFonts w:hint="eastAsia" w:eastAsia="黑体"/>
          <w:bCs/>
          <w:color w:val="auto"/>
          <w:szCs w:val="21"/>
          <w:highlight w:val="none"/>
        </w:rPr>
        <w:t>中图分类号：</w:t>
      </w:r>
      <w:r>
        <w:rPr>
          <w:bCs/>
          <w:color w:val="auto"/>
          <w:szCs w:val="21"/>
          <w:highlight w:val="none"/>
        </w:rPr>
        <w:t xml:space="preserve">TG 171.7 </w:t>
      </w:r>
      <w:r>
        <w:rPr>
          <w:rFonts w:hint="eastAsia"/>
          <w:bCs/>
          <w:color w:val="auto"/>
          <w:szCs w:val="21"/>
          <w:highlight w:val="none"/>
        </w:rPr>
        <w:t>（必须有）</w:t>
      </w:r>
      <w:r>
        <w:rPr>
          <w:color w:val="auto"/>
          <w:szCs w:val="21"/>
          <w:highlight w:val="none"/>
        </w:rPr>
        <w:t xml:space="preserve">    </w:t>
      </w:r>
      <w:r>
        <w:rPr>
          <w:rFonts w:eastAsia="黑体"/>
          <w:bCs/>
          <w:color w:val="auto"/>
          <w:szCs w:val="21"/>
          <w:highlight w:val="none"/>
        </w:rPr>
        <w:t xml:space="preserve"> </w:t>
      </w:r>
      <w:r>
        <w:rPr>
          <w:rFonts w:hint="eastAsia" w:eastAsia="黑体"/>
          <w:bCs/>
          <w:color w:val="auto"/>
          <w:szCs w:val="21"/>
          <w:highlight w:val="none"/>
        </w:rPr>
        <w:t>文献标志码：</w:t>
      </w:r>
      <w:r>
        <w:rPr>
          <w:bCs/>
          <w:color w:val="auto"/>
          <w:szCs w:val="21"/>
          <w:highlight w:val="none"/>
        </w:rPr>
        <w:t>A</w:t>
      </w:r>
      <w:r>
        <w:rPr>
          <w:rFonts w:hint="eastAsia"/>
          <w:color w:val="auto"/>
          <w:szCs w:val="21"/>
          <w:highlight w:val="none"/>
        </w:rPr>
        <w:t xml:space="preserve">       </w:t>
      </w:r>
    </w:p>
    <w:p w14:paraId="7697A185">
      <w:pPr>
        <w:ind w:left="420" w:right="420" w:firstLine="11"/>
        <w:rPr>
          <w:bCs/>
          <w:color w:val="auto"/>
          <w:sz w:val="17"/>
          <w:highlight w:val="none"/>
        </w:rPr>
      </w:pPr>
    </w:p>
    <w:p w14:paraId="7697A1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right="0"/>
        <w:textAlignment w:val="auto"/>
        <w:rPr>
          <w:rFonts w:hint="eastAsia" w:eastAsia="楷体_GB2312"/>
          <w:b/>
          <w:color w:val="auto"/>
          <w:sz w:val="28"/>
          <w:szCs w:val="21"/>
          <w:highlight w:val="none"/>
        </w:rPr>
      </w:pPr>
      <w:r>
        <w:rPr>
          <w:rFonts w:hint="eastAsia" w:eastAsia="楷体_GB2312"/>
          <w:b/>
          <w:color w:val="auto"/>
          <w:sz w:val="28"/>
          <w:szCs w:val="21"/>
          <w:highlight w:val="none"/>
        </w:rPr>
        <w:t>Preparation and properties of high-strength</w:t>
      </w:r>
      <w:r>
        <w:rPr>
          <w:rFonts w:hint="eastAsia" w:eastAsia="楷体_GB2312"/>
          <w:b/>
          <w:color w:val="auto"/>
          <w:sz w:val="28"/>
          <w:szCs w:val="21"/>
          <w:highlight w:val="none"/>
          <w:lang w:val="en-US" w:eastAsia="zh-CN"/>
        </w:rPr>
        <w:t xml:space="preserve"> </w:t>
      </w:r>
      <w:r>
        <w:rPr>
          <w:rFonts w:hint="eastAsia" w:eastAsia="楷体_GB2312"/>
          <w:b/>
          <w:color w:val="auto"/>
          <w:sz w:val="28"/>
          <w:szCs w:val="21"/>
          <w:highlight w:val="none"/>
        </w:rPr>
        <w:t>Lanthanum alloy</w:t>
      </w:r>
    </w:p>
    <w:p w14:paraId="366D3A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right="0"/>
        <w:textAlignment w:val="auto"/>
        <w:rPr>
          <w:rFonts w:hint="eastAsia" w:eastAsia="楷体_GB2312"/>
          <w:b/>
          <w:color w:val="auto"/>
          <w:sz w:val="28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要求与中文题目一一对应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）</w:t>
      </w:r>
    </w:p>
    <w:p w14:paraId="7697A187">
      <w:pPr>
        <w:jc w:val="center"/>
        <w:rPr>
          <w:bCs/>
          <w:color w:val="auto"/>
          <w:szCs w:val="21"/>
          <w:highlight w:val="none"/>
        </w:rPr>
      </w:pPr>
      <w:r>
        <w:rPr>
          <w:rFonts w:hint="eastAsia" w:eastAsia="楷体_GB2312"/>
          <w:bCs/>
          <w:color w:val="auto"/>
          <w:szCs w:val="21"/>
          <w:highlight w:val="none"/>
        </w:rPr>
        <w:t>LI Lei</w:t>
      </w:r>
      <w:r>
        <w:rPr>
          <w:rFonts w:hint="eastAsia"/>
          <w:bCs/>
          <w:color w:val="auto"/>
          <w:kern w:val="0"/>
          <w:szCs w:val="21"/>
          <w:highlight w:val="none"/>
          <w:vertAlign w:val="superscript"/>
        </w:rPr>
        <w:t xml:space="preserve"> 1</w:t>
      </w:r>
      <w:r>
        <w:rPr>
          <w:rFonts w:hint="eastAsia"/>
          <w:bCs/>
          <w:color w:val="auto"/>
          <w:kern w:val="0"/>
          <w:szCs w:val="21"/>
          <w:highlight w:val="none"/>
          <w:lang w:val="en-US" w:eastAsia="zh-CN"/>
        </w:rPr>
        <w:t xml:space="preserve">, </w:t>
      </w:r>
      <w:r>
        <w:rPr>
          <w:rFonts w:hint="eastAsia" w:eastAsia="楷体_GB2312"/>
          <w:bCs/>
          <w:color w:val="auto"/>
          <w:szCs w:val="21"/>
          <w:highlight w:val="none"/>
        </w:rPr>
        <w:t>HAN Meimei</w:t>
      </w:r>
      <w:r>
        <w:rPr>
          <w:rFonts w:hint="eastAsia"/>
          <w:bCs/>
          <w:color w:val="auto"/>
          <w:kern w:val="0"/>
          <w:szCs w:val="21"/>
          <w:highlight w:val="none"/>
          <w:vertAlign w:val="superscript"/>
        </w:rPr>
        <w:t xml:space="preserve"> 2</w:t>
      </w:r>
      <w:r>
        <w:rPr>
          <w:bCs/>
          <w:color w:val="auto"/>
          <w:szCs w:val="21"/>
          <w:highlight w:val="none"/>
        </w:rPr>
        <w:t xml:space="preserve"> </w:t>
      </w:r>
    </w:p>
    <w:p w14:paraId="7697A188">
      <w:pPr>
        <w:pStyle w:val="23"/>
        <w:ind w:left="420" w:leftChars="200" w:right="420" w:rightChars="200"/>
        <w:jc w:val="center"/>
        <w:rPr>
          <w:rFonts w:hint="eastAsia"/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(</w:t>
      </w:r>
      <w:r>
        <w:rPr>
          <w:rFonts w:hint="eastAsia"/>
          <w:color w:val="auto"/>
          <w:sz w:val="21"/>
          <w:szCs w:val="21"/>
          <w:highlight w:val="none"/>
        </w:rPr>
        <w:t>1. School of Materials Science and Engineering, University of Shanghai for Science and Technology, Shanghai 200093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 xml:space="preserve">, </w:t>
      </w:r>
      <w:r>
        <w:rPr>
          <w:rFonts w:hint="eastAsia"/>
          <w:color w:val="auto"/>
          <w:sz w:val="21"/>
          <w:szCs w:val="21"/>
          <w:highlight w:val="none"/>
        </w:rPr>
        <w:t>China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;</w:t>
      </w:r>
      <w:r>
        <w:rPr>
          <w:rFonts w:hint="eastAsia"/>
          <w:color w:val="auto"/>
          <w:sz w:val="21"/>
          <w:szCs w:val="21"/>
          <w:highlight w:val="none"/>
        </w:rPr>
        <w:t xml:space="preserve"> 2. Tongling Nonferrous Metals Group Holdings Co., Ltd., Tongling 244000, China)</w:t>
      </w:r>
    </w:p>
    <w:p w14:paraId="155A401C">
      <w:pPr>
        <w:pStyle w:val="23"/>
        <w:ind w:left="420" w:leftChars="200" w:right="420" w:rightChars="200"/>
        <w:jc w:val="center"/>
        <w:rPr>
          <w:rFonts w:hint="eastAsia"/>
          <w:color w:val="auto"/>
          <w:sz w:val="21"/>
          <w:szCs w:val="21"/>
          <w:highlight w:val="none"/>
        </w:rPr>
      </w:pP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要求与中文作者和单位一一对应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）</w:t>
      </w:r>
    </w:p>
    <w:p w14:paraId="7697A189">
      <w:pPr>
        <w:pStyle w:val="23"/>
        <w:ind w:left="420" w:leftChars="200" w:right="420" w:rightChars="200"/>
        <w:jc w:val="both"/>
        <w:rPr>
          <w:color w:val="auto"/>
          <w:sz w:val="21"/>
          <w:szCs w:val="21"/>
          <w:highlight w:val="none"/>
        </w:rPr>
      </w:pPr>
      <w:r>
        <w:rPr>
          <w:b/>
          <w:color w:val="auto"/>
          <w:sz w:val="21"/>
          <w:szCs w:val="21"/>
          <w:highlight w:val="none"/>
        </w:rPr>
        <w:t>Abstract</w:t>
      </w:r>
      <w:r>
        <w:rPr>
          <w:rFonts w:hint="eastAsia"/>
          <w:b/>
          <w:color w:val="auto"/>
          <w:sz w:val="21"/>
          <w:szCs w:val="21"/>
          <w:highlight w:val="none"/>
        </w:rPr>
        <w:t>:</w:t>
      </w:r>
      <w:r>
        <w:rPr>
          <w:b/>
          <w:color w:val="auto"/>
          <w:sz w:val="21"/>
          <w:szCs w:val="21"/>
          <w:highlight w:val="none"/>
        </w:rPr>
        <w:t xml:space="preserve"> </w:t>
      </w:r>
      <w:r>
        <w:rPr>
          <w:color w:val="auto"/>
          <w:sz w:val="21"/>
          <w:szCs w:val="21"/>
          <w:highlight w:val="none"/>
        </w:rPr>
        <w:t>Please write the abstract in a structured format covering four elements—Objective, Methods, Results, and Conclusion—with no fewer than 240 words.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要求与中文摘要一一对应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）</w:t>
      </w:r>
    </w:p>
    <w:p w14:paraId="7697A18A">
      <w:pPr>
        <w:pStyle w:val="23"/>
        <w:ind w:left="420" w:leftChars="200" w:right="420" w:rightChars="200"/>
        <w:jc w:val="both"/>
        <w:rPr>
          <w:rFonts w:hint="eastAsia" w:eastAsia="宋体"/>
          <w:color w:val="auto"/>
          <w:sz w:val="21"/>
          <w:szCs w:val="21"/>
          <w:highlight w:val="none"/>
          <w:lang w:eastAsia="zh-CN"/>
        </w:rPr>
      </w:pPr>
      <w:r>
        <w:rPr>
          <w:b/>
          <w:color w:val="auto"/>
          <w:sz w:val="21"/>
          <w:szCs w:val="21"/>
          <w:highlight w:val="none"/>
        </w:rPr>
        <w:t>Keywords</w:t>
      </w:r>
      <w:r>
        <w:rPr>
          <w:rFonts w:hint="eastAsia"/>
          <w:b/>
          <w:color w:val="auto"/>
          <w:sz w:val="21"/>
          <w:szCs w:val="21"/>
          <w:highlight w:val="none"/>
        </w:rPr>
        <w:t>:</w:t>
      </w:r>
      <w:r>
        <w:rPr>
          <w:rFonts w:hint="eastAsia"/>
          <w:b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l</w:t>
      </w:r>
      <w:r>
        <w:rPr>
          <w:color w:val="auto"/>
          <w:sz w:val="21"/>
          <w:szCs w:val="21"/>
          <w:highlight w:val="none"/>
        </w:rPr>
        <w:t>anthanide alloy; preparation; high strength; mechanical properties; surface roughness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/>
          <w:color w:val="auto"/>
          <w:sz w:val="21"/>
          <w:szCs w:val="21"/>
          <w:highlight w:val="none"/>
          <w:lang w:val="en-US" w:eastAsia="zh-CN"/>
        </w:rPr>
        <w:t>要求与中文关键词一一对应</w:t>
      </w:r>
      <w:r>
        <w:rPr>
          <w:rFonts w:hint="eastAsia"/>
          <w:color w:val="auto"/>
          <w:sz w:val="21"/>
          <w:szCs w:val="21"/>
          <w:highlight w:val="none"/>
          <w:lang w:eastAsia="zh-CN"/>
        </w:rPr>
        <w:t>）</w:t>
      </w:r>
    </w:p>
    <w:p w14:paraId="7697A18B">
      <w:pPr>
        <w:pStyle w:val="23"/>
        <w:jc w:val="both"/>
        <w:rPr>
          <w:color w:val="auto"/>
          <w:sz w:val="17"/>
          <w:highlight w:val="none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304" w:right="907" w:bottom="1247" w:left="964" w:header="936" w:footer="714" w:gutter="0"/>
          <w:pgNumType w:start="1"/>
          <w:cols w:space="425" w:num="1"/>
          <w:titlePg/>
          <w:docGrid w:type="lines" w:linePitch="312" w:charSpace="0"/>
        </w:sectPr>
      </w:pPr>
    </w:p>
    <w:p w14:paraId="7697A18F">
      <w:pPr>
        <w:ind w:right="420"/>
        <w:rPr>
          <w:color w:val="auto"/>
          <w:sz w:val="18"/>
          <w:highlight w:val="none"/>
        </w:rPr>
      </w:pPr>
    </w:p>
    <w:p w14:paraId="3D78B230">
      <w:pPr>
        <w:ind w:firstLine="420" w:firstLineChars="200"/>
        <w:rPr>
          <w:b/>
          <w:color w:val="auto"/>
          <w:sz w:val="22"/>
          <w:szCs w:val="22"/>
          <w:highlight w:val="none"/>
        </w:rPr>
      </w:pPr>
      <w:r>
        <w:rPr>
          <w:color w:val="auto"/>
          <w:kern w:val="0"/>
          <w:szCs w:val="21"/>
          <w:highlight w:val="none"/>
        </w:rPr>
        <w:t>前言部分</w:t>
      </w:r>
      <w:r>
        <w:rPr>
          <w:rFonts w:hint="eastAsia"/>
          <w:color w:val="auto"/>
          <w:kern w:val="0"/>
          <w:szCs w:val="21"/>
          <w:highlight w:val="none"/>
        </w:rPr>
        <w:t>不设标题序号及一级标题，直接开始正文。应简要回顾相关研究背景，指出现有研究的不足，阐明本文的研究目的和意义。</w:t>
      </w:r>
      <w:r>
        <w:rPr>
          <w:color w:val="auto"/>
          <w:kern w:val="0"/>
          <w:szCs w:val="21"/>
          <w:highlight w:val="none"/>
        </w:rPr>
        <w:t>文章不需要分栏。</w:t>
      </w:r>
    </w:p>
    <w:p w14:paraId="4CC508A7">
      <w:pPr>
        <w:widowControl/>
        <w:shd w:val="clear" w:color="auto" w:fill="FFFFFF"/>
        <w:spacing w:line="300" w:lineRule="auto"/>
        <w:rPr>
          <w:color w:val="auto"/>
          <w:kern w:val="0"/>
          <w:szCs w:val="21"/>
          <w:highlight w:val="none"/>
        </w:rPr>
      </w:pPr>
    </w:p>
    <w:p w14:paraId="4C43248A">
      <w:pPr>
        <w:rPr>
          <w:b/>
          <w:bCs/>
          <w:color w:val="auto"/>
          <w:szCs w:val="21"/>
          <w:highlight w:val="none"/>
        </w:rPr>
      </w:pP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</w:rPr>
        <w:t>1  试验材料与方法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</w:rPr>
        <w:t>一级标题4号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  <w:lang w:val="en-US" w:eastAsia="zh-CN"/>
        </w:rPr>
        <w:t>黑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</w:rPr>
        <w:t>体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  <w:lang w:val="en-US" w:eastAsia="zh-CN"/>
        </w:rPr>
        <w:t>加粗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  <w:lang w:eastAsia="zh-CN"/>
        </w:rPr>
        <w:t>）</w:t>
      </w:r>
    </w:p>
    <w:p w14:paraId="16BA6895">
      <w:pPr>
        <w:spacing w:line="300" w:lineRule="auto"/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eastAsia="zh-CN"/>
        </w:rPr>
      </w:pP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>1.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>试验材料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eastAsia="zh-CN"/>
        </w:rPr>
        <w:t>（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>二级标题5号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>黑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>体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>加粗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eastAsia="zh-CN"/>
        </w:rPr>
        <w:t>）</w:t>
      </w:r>
    </w:p>
    <w:p w14:paraId="7515C278">
      <w:pPr>
        <w:spacing w:line="300" w:lineRule="auto"/>
        <w:ind w:firstLine="420" w:firstLineChars="200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/>
          <w:color w:val="auto"/>
          <w:szCs w:val="21"/>
          <w:highlight w:val="none"/>
          <w:lang w:val="en-US" w:eastAsia="zh-CN"/>
        </w:rPr>
        <w:t>正文要求5号宋体，</w:t>
      </w:r>
      <w:r>
        <w:rPr>
          <w:color w:val="auto"/>
          <w:kern w:val="0"/>
          <w:szCs w:val="21"/>
          <w:highlight w:val="none"/>
        </w:rPr>
        <w:t>英文Times New Roman字体</w:t>
      </w:r>
      <w:r>
        <w:rPr>
          <w:rFonts w:hint="eastAsia"/>
          <w:color w:val="auto"/>
          <w:kern w:val="0"/>
          <w:szCs w:val="21"/>
          <w:highlight w:val="none"/>
          <w:lang w:eastAsia="zh-CN"/>
        </w:rPr>
        <w:t>，</w:t>
      </w:r>
      <w:r>
        <w:rPr>
          <w:rFonts w:hint="eastAsia"/>
          <w:color w:val="auto"/>
          <w:szCs w:val="21"/>
          <w:highlight w:val="none"/>
          <w:lang w:val="en-US" w:eastAsia="zh-CN"/>
        </w:rPr>
        <w:t>行距1.25倍。</w:t>
      </w:r>
    </w:p>
    <w:p w14:paraId="7697A197">
      <w:pPr>
        <w:spacing w:line="300" w:lineRule="auto"/>
        <w:ind w:firstLine="420" w:firstLineChars="200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/>
          <w:color w:val="auto"/>
          <w:szCs w:val="21"/>
          <w:highlight w:val="none"/>
          <w:lang w:val="en-US" w:eastAsia="zh-CN"/>
        </w:rPr>
        <w:t>首次出现缩写时，先写出完整的中文全称，紧跟括号，括号内先注明英文全称，统一用小写字母，然后用逗号分隔；如高熵氧化物（high-entropy oxides, HEOs）。</w:t>
      </w:r>
    </w:p>
    <w:p w14:paraId="2986B662">
      <w:pPr>
        <w:spacing w:line="300" w:lineRule="auto"/>
        <w:ind w:firstLine="420" w:firstLineChars="200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/>
          <w:color w:val="auto"/>
          <w:szCs w:val="21"/>
          <w:highlight w:val="none"/>
          <w:lang w:val="en-US" w:eastAsia="zh-CN"/>
        </w:rPr>
        <w:t>单位一律采用法定计量单位。部分常见写作格式举例：10～80 nm；3.2%～3.5%；3 mm×3 mm×3 mm；40, 80, 120, 160 ℃；650～1 100 ℃；数字从右往左每3位之间空一格；数字和单位之间加空格。单位格式用斜杠，不用指数，如：mol/L，不用mol·L</w:t>
      </w:r>
      <w:r>
        <w:rPr>
          <w:rFonts w:hint="eastAsia"/>
          <w:color w:val="auto"/>
          <w:szCs w:val="21"/>
          <w:highlight w:val="none"/>
          <w:vertAlign w:val="superscript"/>
          <w:lang w:val="en-US" w:eastAsia="zh-CN"/>
        </w:rPr>
        <w:t>-1</w:t>
      </w:r>
      <w:r>
        <w:rPr>
          <w:rFonts w:hint="eastAsia"/>
          <w:color w:val="auto"/>
          <w:szCs w:val="21"/>
          <w:highlight w:val="none"/>
          <w:lang w:val="en-US" w:eastAsia="zh-CN"/>
        </w:rPr>
        <w:t>。</w:t>
      </w:r>
    </w:p>
    <w:p w14:paraId="7697A19E">
      <w:pPr>
        <w:rPr>
          <w:rFonts w:hint="eastAsia" w:ascii="黑体" w:hAnsi="黑体" w:eastAsia="黑体"/>
          <w:b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</w:rPr>
        <w:t>2</w:t>
      </w:r>
      <w:r>
        <w:rPr>
          <w:rFonts w:hint="eastAsia" w:ascii="黑体" w:hAnsi="黑体" w:eastAsia="黑体" w:cs="黑体"/>
          <w:b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黑体" w:hAnsi="黑体" w:eastAsia="黑体"/>
          <w:b/>
          <w:color w:val="auto"/>
          <w:sz w:val="28"/>
          <w:szCs w:val="28"/>
          <w:highlight w:val="none"/>
        </w:rPr>
        <w:t>结果与讨论</w:t>
      </w:r>
    </w:p>
    <w:p w14:paraId="7697A19F">
      <w:pPr>
        <w:spacing w:line="300" w:lineRule="auto"/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 xml:space="preserve">2.1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>公式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>格式</w:t>
      </w:r>
    </w:p>
    <w:p w14:paraId="49AEA320">
      <w:pPr>
        <w:spacing w:line="300" w:lineRule="auto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Cs w:val="21"/>
          <w:highlight w:val="none"/>
          <w:lang w:val="en-US" w:eastAsia="zh-CN"/>
        </w:rPr>
        <w:t>2.1.1</w:t>
      </w:r>
      <w:r>
        <w:rPr>
          <w:rFonts w:hint="eastAsia"/>
          <w:color w:val="auto"/>
          <w:szCs w:val="21"/>
          <w:highlight w:val="none"/>
          <w:lang w:val="en-US" w:eastAsia="zh-CN"/>
        </w:rPr>
        <w:t xml:space="preserve"> 凡变量、物理量均用斜体（包括上下标中的变量符号）。</w:t>
      </w:r>
    </w:p>
    <w:p w14:paraId="2EAD02B9">
      <w:pPr>
        <w:spacing w:line="300" w:lineRule="auto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Cs w:val="21"/>
          <w:highlight w:val="none"/>
          <w:lang w:val="en-US" w:eastAsia="zh-CN"/>
        </w:rPr>
        <w:t>2.1.2</w:t>
      </w:r>
      <w:r>
        <w:rPr>
          <w:rFonts w:hint="eastAsia" w:ascii="黑体" w:hAnsi="黑体" w:eastAsia="黑体" w:cs="黑体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Cs w:val="21"/>
          <w:highlight w:val="none"/>
          <w:lang w:val="en-US" w:eastAsia="zh-CN"/>
        </w:rPr>
        <w:t>常数、单位、微分符号d、自然对数的底e等、上下标中的说明性文字（非变量），用正体。</w:t>
      </w:r>
    </w:p>
    <w:p w14:paraId="7A3E740E">
      <w:pPr>
        <w:spacing w:line="300" w:lineRule="auto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Cs w:val="21"/>
          <w:highlight w:val="none"/>
          <w:lang w:val="en-US" w:eastAsia="zh-CN"/>
        </w:rPr>
        <w:t>2.1.3</w:t>
      </w:r>
      <w:r>
        <w:rPr>
          <w:rFonts w:hint="eastAsia" w:ascii="黑体" w:hAnsi="黑体" w:eastAsia="黑体" w:cs="黑体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Cs w:val="21"/>
          <w:highlight w:val="none"/>
          <w:lang w:val="en-US" w:eastAsia="zh-CN"/>
        </w:rPr>
        <w:t>公式编号： 公式按顺序编号，编号用圆括号括起，右对齐。</w:t>
      </w:r>
    </w:p>
    <w:p w14:paraId="3C1AF21C">
      <w:pPr>
        <w:spacing w:line="300" w:lineRule="auto"/>
        <w:rPr>
          <w:rFonts w:hint="eastAsia"/>
          <w:color w:val="auto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Cs w:val="21"/>
          <w:highlight w:val="none"/>
          <w:lang w:val="en-US" w:eastAsia="zh-CN"/>
        </w:rPr>
        <w:t>2.1.4</w:t>
      </w:r>
      <w:r>
        <w:rPr>
          <w:rFonts w:hint="eastAsia" w:ascii="黑体" w:hAnsi="黑体" w:eastAsia="黑体" w:cs="黑体"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Cs w:val="21"/>
          <w:highlight w:val="none"/>
          <w:lang w:val="en-US" w:eastAsia="zh-CN"/>
        </w:rPr>
        <w:t>公式请用Word自带公式编辑器或 Equation 排版。</w:t>
      </w:r>
    </w:p>
    <w:p w14:paraId="7697A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示例如下：</w:t>
      </w:r>
    </w:p>
    <w:p w14:paraId="7697A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color w:val="auto"/>
          <w:szCs w:val="21"/>
          <w:highlight w:val="none"/>
        </w:rPr>
      </w:pPr>
      <w:r>
        <w:rPr>
          <w:color w:val="auto"/>
          <w:position w:val="-24"/>
          <w:szCs w:val="21"/>
          <w:highlight w:val="none"/>
        </w:rPr>
        <w:object>
          <v:shape id="_x0000_i1025" o:spt="75" type="#_x0000_t75" style="height:30.65pt;width:180.7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4">
            <o:LockedField>false</o:LockedField>
          </o:OLEObject>
        </w:object>
      </w:r>
      <w:r>
        <w:rPr>
          <w:color w:val="auto"/>
          <w:szCs w:val="21"/>
          <w:highlight w:val="none"/>
        </w:rPr>
        <w:t xml:space="preserve">  </w:t>
      </w:r>
      <w:r>
        <w:rPr>
          <w:rFonts w:hint="eastAsia"/>
          <w:color w:val="auto"/>
          <w:szCs w:val="21"/>
          <w:highlight w:val="none"/>
        </w:rPr>
        <w:t xml:space="preserve"> </w:t>
      </w:r>
      <w:r>
        <w:rPr>
          <w:color w:val="auto"/>
          <w:szCs w:val="21"/>
          <w:highlight w:val="none"/>
        </w:rPr>
        <w:t xml:space="preserve">                                    (</w:t>
      </w:r>
      <w:r>
        <w:rPr>
          <w:rFonts w:hint="eastAsia"/>
          <w:color w:val="auto"/>
          <w:szCs w:val="21"/>
          <w:highlight w:val="none"/>
        </w:rPr>
        <w:t>1</w:t>
      </w:r>
      <w:r>
        <w:rPr>
          <w:color w:val="auto"/>
          <w:szCs w:val="21"/>
          <w:highlight w:val="none"/>
        </w:rPr>
        <w:t>)</w:t>
      </w:r>
    </w:p>
    <w:p w14:paraId="7697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 xml:space="preserve">式中： </w:t>
      </w:r>
      <w:r>
        <w:rPr>
          <w:color w:val="auto"/>
          <w:kern w:val="0"/>
          <w:szCs w:val="21"/>
          <w:highlight w:val="none"/>
        </w:rPr>
        <w:t>P</w:t>
      </w:r>
      <w:r>
        <w:rPr>
          <w:rFonts w:hint="eastAsia"/>
          <w:color w:val="auto"/>
          <w:szCs w:val="21"/>
          <w:highlight w:val="none"/>
        </w:rPr>
        <w:t>为</w:t>
      </w:r>
      <w:r>
        <w:rPr>
          <w:rFonts w:hint="eastAsia"/>
          <w:bCs/>
          <w:color w:val="auto"/>
          <w:szCs w:val="21"/>
          <w:highlight w:val="none"/>
        </w:rPr>
        <w:t>物理量</w:t>
      </w:r>
      <w:r>
        <w:rPr>
          <w:rFonts w:hint="eastAsia"/>
          <w:bCs/>
          <w:color w:val="auto"/>
          <w:szCs w:val="21"/>
          <w:highlight w:val="none"/>
          <w:lang w:eastAsia="zh-CN"/>
        </w:rPr>
        <w:t>，</w:t>
      </w:r>
      <w:r>
        <w:rPr>
          <w:rFonts w:hint="eastAsia"/>
          <w:bCs/>
          <w:color w:val="auto"/>
          <w:szCs w:val="21"/>
          <w:highlight w:val="none"/>
          <w:lang w:val="en-US" w:eastAsia="zh-CN"/>
        </w:rPr>
        <w:t>斜体</w:t>
      </w:r>
      <w:r>
        <w:rPr>
          <w:rFonts w:hint="eastAsia"/>
          <w:color w:val="auto"/>
          <w:szCs w:val="21"/>
          <w:highlight w:val="none"/>
        </w:rPr>
        <w:t>；</w:t>
      </w:r>
      <w:r>
        <w:rPr>
          <w:rFonts w:hint="eastAsia"/>
          <w:color w:val="auto"/>
          <w:szCs w:val="21"/>
          <w:highlight w:val="none"/>
          <w:lang w:val="en-US" w:eastAsia="zh-CN"/>
        </w:rPr>
        <w:t>I</w:t>
      </w:r>
      <w:r>
        <w:rPr>
          <w:rFonts w:hint="eastAsia"/>
          <w:color w:val="auto"/>
          <w:szCs w:val="21"/>
          <w:highlight w:val="none"/>
        </w:rPr>
        <w:t>为</w:t>
      </w:r>
      <w:r>
        <w:rPr>
          <w:rFonts w:hint="eastAsia"/>
          <w:color w:val="auto"/>
          <w:szCs w:val="21"/>
          <w:highlight w:val="none"/>
          <w:lang w:val="en-US" w:eastAsia="zh-CN"/>
        </w:rPr>
        <w:t>变量，斜体</w:t>
      </w:r>
      <w:r>
        <w:rPr>
          <w:rFonts w:hint="eastAsia"/>
          <w:color w:val="auto"/>
          <w:szCs w:val="21"/>
          <w:highlight w:val="none"/>
        </w:rPr>
        <w:t>；</w:t>
      </w:r>
      <w:r>
        <w:rPr>
          <w:rFonts w:hint="eastAsia"/>
          <w:color w:val="auto"/>
          <w:szCs w:val="21"/>
          <w:highlight w:val="none"/>
          <w:lang w:val="en-US" w:eastAsia="zh-CN"/>
        </w:rPr>
        <w:t>ln</w:t>
      </w:r>
      <w:r>
        <w:rPr>
          <w:rFonts w:hint="eastAsia"/>
          <w:color w:val="auto"/>
          <w:szCs w:val="21"/>
          <w:highlight w:val="none"/>
        </w:rPr>
        <w:t>为</w:t>
      </w:r>
      <w:r>
        <w:rPr>
          <w:rFonts w:hint="eastAsia"/>
          <w:color w:val="auto"/>
          <w:szCs w:val="21"/>
          <w:highlight w:val="none"/>
          <w:lang w:val="en-US" w:eastAsia="zh-CN"/>
        </w:rPr>
        <w:t>自然对数，正体</w:t>
      </w:r>
      <w:r>
        <w:rPr>
          <w:rFonts w:hint="eastAsia"/>
          <w:color w:val="auto"/>
          <w:szCs w:val="21"/>
          <w:highlight w:val="none"/>
        </w:rPr>
        <w:t>。</w:t>
      </w:r>
    </w:p>
    <w:p w14:paraId="1D83F80C">
      <w:pPr>
        <w:rPr>
          <w:rFonts w:hint="eastAsia"/>
          <w:color w:val="auto"/>
          <w:szCs w:val="21"/>
          <w:highlight w:val="none"/>
        </w:rPr>
      </w:pPr>
    </w:p>
    <w:p w14:paraId="108F4D0D">
      <w:pPr>
        <w:spacing w:line="300" w:lineRule="auto"/>
        <w:jc w:val="center"/>
        <w:rPr>
          <w:b/>
          <w:bCs/>
          <w:color w:val="auto"/>
          <w:szCs w:val="21"/>
          <w:highlight w:val="none"/>
        </w:rPr>
      </w:pPr>
      <w:r>
        <w:rPr>
          <w:b/>
          <w:bCs/>
          <w:color w:val="auto"/>
          <w:szCs w:val="21"/>
          <w:highlight w:val="none"/>
        </w:rPr>
        <w:t xml:space="preserve">表1 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 xml:space="preserve"> </w:t>
      </w:r>
      <w:r>
        <w:rPr>
          <w:b/>
          <w:bCs/>
          <w:color w:val="auto"/>
          <w:szCs w:val="21"/>
          <w:highlight w:val="none"/>
        </w:rPr>
        <w:t>常见的正斜体示例</w:t>
      </w:r>
    </w:p>
    <w:p w14:paraId="57335E60">
      <w:pPr>
        <w:spacing w:line="300" w:lineRule="auto"/>
        <w:jc w:val="center"/>
        <w:rPr>
          <w:b/>
          <w:bCs/>
          <w:color w:val="auto"/>
          <w:szCs w:val="21"/>
          <w:highlight w:val="none"/>
        </w:rPr>
      </w:pPr>
      <w:r>
        <w:rPr>
          <w:b/>
          <w:bCs/>
          <w:color w:val="auto"/>
          <w:szCs w:val="21"/>
          <w:highlight w:val="none"/>
        </w:rPr>
        <w:t>Tab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>.</w:t>
      </w:r>
      <w:r>
        <w:rPr>
          <w:b/>
          <w:bCs/>
          <w:color w:val="auto"/>
          <w:szCs w:val="21"/>
          <w:highlight w:val="none"/>
        </w:rPr>
        <w:t xml:space="preserve">1 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 xml:space="preserve"> </w:t>
      </w:r>
      <w:r>
        <w:rPr>
          <w:b/>
          <w:bCs/>
          <w:color w:val="auto"/>
          <w:szCs w:val="21"/>
          <w:highlight w:val="none"/>
        </w:rPr>
        <w:t>Examples of common upright and italic fonts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4"/>
        <w:gridCol w:w="2115"/>
        <w:gridCol w:w="2920"/>
      </w:tblGrid>
      <w:tr w14:paraId="54B6F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4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694AE832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类型</w:t>
            </w:r>
          </w:p>
        </w:tc>
        <w:tc>
          <w:tcPr>
            <w:tcW w:w="2115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425F8EC7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字体</w:t>
            </w:r>
          </w:p>
        </w:tc>
        <w:tc>
          <w:tcPr>
            <w:tcW w:w="2920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1F58CB90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示例</w:t>
            </w:r>
          </w:p>
        </w:tc>
      </w:tr>
      <w:tr w14:paraId="50221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564" w:type="dxa"/>
            <w:tcBorders>
              <w:top w:val="single" w:color="auto" w:sz="4" w:space="0"/>
            </w:tcBorders>
            <w:vAlign w:val="top"/>
          </w:tcPr>
          <w:p w14:paraId="458CBEEE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变量</w:t>
            </w:r>
          </w:p>
        </w:tc>
        <w:tc>
          <w:tcPr>
            <w:tcW w:w="2115" w:type="dxa"/>
            <w:tcBorders>
              <w:top w:val="single" w:color="auto" w:sz="4" w:space="0"/>
            </w:tcBorders>
            <w:vAlign w:val="top"/>
          </w:tcPr>
          <w:p w14:paraId="233F08C9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斜体</w:t>
            </w:r>
          </w:p>
        </w:tc>
        <w:tc>
          <w:tcPr>
            <w:tcW w:w="2920" w:type="dxa"/>
            <w:tcBorders>
              <w:top w:val="single" w:color="auto" w:sz="4" w:space="0"/>
            </w:tcBorders>
            <w:vAlign w:val="top"/>
          </w:tcPr>
          <w:p w14:paraId="21E8519D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i/>
                <w:iCs/>
                <w:color w:val="auto"/>
                <w:kern w:val="0"/>
                <w:szCs w:val="21"/>
                <w:highlight w:val="none"/>
              </w:rPr>
              <w:t>x</w:t>
            </w:r>
            <w:r>
              <w:rPr>
                <w:color w:val="auto"/>
                <w:kern w:val="0"/>
                <w:szCs w:val="21"/>
                <w:highlight w:val="none"/>
              </w:rPr>
              <w:t xml:space="preserve">, </w:t>
            </w:r>
            <w:r>
              <w:rPr>
                <w:i/>
                <w:iCs/>
                <w:color w:val="auto"/>
                <w:kern w:val="0"/>
                <w:szCs w:val="21"/>
                <w:highlight w:val="none"/>
              </w:rPr>
              <w:t>y</w:t>
            </w:r>
            <w:r>
              <w:rPr>
                <w:color w:val="auto"/>
                <w:kern w:val="0"/>
                <w:szCs w:val="21"/>
                <w:highlight w:val="none"/>
              </w:rPr>
              <w:t xml:space="preserve">, </w:t>
            </w:r>
            <w:r>
              <w:rPr>
                <w:i/>
                <w:iCs/>
                <w:color w:val="auto"/>
                <w:kern w:val="0"/>
                <w:szCs w:val="21"/>
                <w:highlight w:val="none"/>
              </w:rPr>
              <w:t>T</w:t>
            </w:r>
            <w:r>
              <w:rPr>
                <w:color w:val="auto"/>
                <w:kern w:val="0"/>
                <w:szCs w:val="21"/>
                <w:highlight w:val="none"/>
              </w:rPr>
              <w:t xml:space="preserve">, </w:t>
            </w:r>
            <w:r>
              <w:rPr>
                <w:i/>
                <w:iCs/>
                <w:color w:val="auto"/>
                <w:kern w:val="0"/>
                <w:szCs w:val="21"/>
                <w:highlight w:val="none"/>
              </w:rPr>
              <w:t>t</w:t>
            </w:r>
            <w:r>
              <w:rPr>
                <w:color w:val="auto"/>
                <w:kern w:val="0"/>
                <w:szCs w:val="21"/>
                <w:highlight w:val="none"/>
              </w:rPr>
              <w:t xml:space="preserve">, </w:t>
            </w:r>
            <w:r>
              <w:rPr>
                <w:i/>
                <w:iCs/>
                <w:color w:val="auto"/>
                <w:kern w:val="0"/>
                <w:szCs w:val="21"/>
                <w:highlight w:val="none"/>
              </w:rPr>
              <w:t>P</w:t>
            </w:r>
          </w:p>
        </w:tc>
      </w:tr>
      <w:tr w14:paraId="313C7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564" w:type="dxa"/>
            <w:vAlign w:val="top"/>
          </w:tcPr>
          <w:p w14:paraId="726273AE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下标为变量</w:t>
            </w:r>
          </w:p>
        </w:tc>
        <w:tc>
          <w:tcPr>
            <w:tcW w:w="2115" w:type="dxa"/>
            <w:vAlign w:val="top"/>
          </w:tcPr>
          <w:p w14:paraId="1497184E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斜体</w:t>
            </w:r>
          </w:p>
        </w:tc>
        <w:tc>
          <w:tcPr>
            <w:tcW w:w="2920" w:type="dxa"/>
            <w:vAlign w:val="top"/>
          </w:tcPr>
          <w:p w14:paraId="45842229">
            <w:pPr>
              <w:widowControl/>
              <w:spacing w:line="375" w:lineRule="atLeast"/>
              <w:jc w:val="center"/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C</w:t>
            </w:r>
            <w:r>
              <w:rPr>
                <w:rFonts w:hint="eastAsia"/>
                <w:i/>
                <w:iCs/>
                <w:color w:val="auto"/>
                <w:kern w:val="0"/>
                <w:szCs w:val="21"/>
                <w:highlight w:val="none"/>
                <w:vertAlign w:val="subscript"/>
                <w:lang w:val="en-US" w:eastAsia="zh-CN"/>
              </w:rPr>
              <w:t>p</w:t>
            </w:r>
            <w:r>
              <w:rPr>
                <w:color w:val="auto"/>
                <w:kern w:val="0"/>
                <w:szCs w:val="21"/>
                <w:highlight w:val="none"/>
              </w:rPr>
              <w:t>（p为变量）</w:t>
            </w:r>
          </w:p>
        </w:tc>
      </w:tr>
      <w:tr w14:paraId="5E1C4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564" w:type="dxa"/>
            <w:vAlign w:val="top"/>
          </w:tcPr>
          <w:p w14:paraId="79EEADB8">
            <w:pPr>
              <w:widowControl/>
              <w:spacing w:line="375" w:lineRule="atLeast"/>
              <w:jc w:val="center"/>
              <w:rPr>
                <w:i/>
                <w:iCs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矢量/张量</w:t>
            </w:r>
          </w:p>
        </w:tc>
        <w:tc>
          <w:tcPr>
            <w:tcW w:w="2115" w:type="dxa"/>
            <w:vAlign w:val="top"/>
          </w:tcPr>
          <w:p w14:paraId="75E22608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黑斜体</w:t>
            </w:r>
          </w:p>
        </w:tc>
        <w:tc>
          <w:tcPr>
            <w:tcW w:w="2920" w:type="dxa"/>
            <w:vAlign w:val="top"/>
          </w:tcPr>
          <w:p w14:paraId="1B6DE069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auto"/>
                <w:kern w:val="0"/>
                <w:szCs w:val="21"/>
                <w:highlight w:val="none"/>
              </w:rPr>
              <w:t>F, σ</w:t>
            </w:r>
          </w:p>
        </w:tc>
      </w:tr>
      <w:tr w14:paraId="6BDCB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564" w:type="dxa"/>
            <w:vAlign w:val="top"/>
          </w:tcPr>
          <w:p w14:paraId="68674833">
            <w:pPr>
              <w:widowControl/>
              <w:spacing w:line="375" w:lineRule="atLeast"/>
              <w:jc w:val="center"/>
              <w:rPr>
                <w:i/>
                <w:iCs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常数</w:t>
            </w:r>
          </w:p>
        </w:tc>
        <w:tc>
          <w:tcPr>
            <w:tcW w:w="2115" w:type="dxa"/>
            <w:vAlign w:val="top"/>
          </w:tcPr>
          <w:p w14:paraId="2ABDAFEA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正体</w:t>
            </w:r>
          </w:p>
        </w:tc>
        <w:tc>
          <w:tcPr>
            <w:tcW w:w="2920" w:type="dxa"/>
            <w:vAlign w:val="top"/>
          </w:tcPr>
          <w:p w14:paraId="43483C8C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π, e</w:t>
            </w:r>
          </w:p>
        </w:tc>
      </w:tr>
      <w:tr w14:paraId="694BB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564" w:type="dxa"/>
            <w:vAlign w:val="top"/>
          </w:tcPr>
          <w:p w14:paraId="4819E78F">
            <w:pPr>
              <w:widowControl/>
              <w:spacing w:line="375" w:lineRule="atLeast"/>
              <w:jc w:val="center"/>
              <w:rPr>
                <w:i/>
                <w:iCs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单位</w:t>
            </w:r>
          </w:p>
        </w:tc>
        <w:tc>
          <w:tcPr>
            <w:tcW w:w="2115" w:type="dxa"/>
            <w:vAlign w:val="top"/>
          </w:tcPr>
          <w:p w14:paraId="48EFFF28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正体</w:t>
            </w:r>
          </w:p>
        </w:tc>
        <w:tc>
          <w:tcPr>
            <w:tcW w:w="2920" w:type="dxa"/>
            <w:vAlign w:val="top"/>
          </w:tcPr>
          <w:p w14:paraId="55AF4BC8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m, s, kg, A, K</w:t>
            </w:r>
          </w:p>
        </w:tc>
      </w:tr>
      <w:tr w14:paraId="74EA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564" w:type="dxa"/>
            <w:vAlign w:val="top"/>
          </w:tcPr>
          <w:p w14:paraId="5C7A874C">
            <w:pPr>
              <w:widowControl/>
              <w:spacing w:line="375" w:lineRule="atLeast"/>
              <w:jc w:val="center"/>
              <w:rPr>
                <w:i/>
                <w:iCs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微分符号</w:t>
            </w:r>
          </w:p>
        </w:tc>
        <w:tc>
          <w:tcPr>
            <w:tcW w:w="2115" w:type="dxa"/>
            <w:vAlign w:val="top"/>
          </w:tcPr>
          <w:p w14:paraId="2D11EE36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正体</w:t>
            </w:r>
          </w:p>
        </w:tc>
        <w:tc>
          <w:tcPr>
            <w:tcW w:w="2920" w:type="dxa"/>
            <w:vAlign w:val="top"/>
          </w:tcPr>
          <w:p w14:paraId="7107018B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d</w:t>
            </w:r>
          </w:p>
        </w:tc>
      </w:tr>
      <w:tr w14:paraId="21950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564" w:type="dxa"/>
            <w:vAlign w:val="top"/>
          </w:tcPr>
          <w:p w14:paraId="044B34A6">
            <w:pPr>
              <w:widowControl/>
              <w:spacing w:line="375" w:lineRule="atLeast"/>
              <w:jc w:val="center"/>
              <w:rPr>
                <w:i/>
                <w:iCs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化学元素符号</w:t>
            </w:r>
          </w:p>
        </w:tc>
        <w:tc>
          <w:tcPr>
            <w:tcW w:w="2115" w:type="dxa"/>
            <w:vAlign w:val="top"/>
          </w:tcPr>
          <w:p w14:paraId="77EEF664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正体</w:t>
            </w:r>
          </w:p>
        </w:tc>
        <w:tc>
          <w:tcPr>
            <w:tcW w:w="2920" w:type="dxa"/>
            <w:vAlign w:val="top"/>
          </w:tcPr>
          <w:p w14:paraId="7B9E1D87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sz w:val="15"/>
                <w:szCs w:val="15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Cu, Ti, Ni</w:t>
            </w:r>
          </w:p>
        </w:tc>
      </w:tr>
      <w:tr w14:paraId="0D8DE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564" w:type="dxa"/>
            <w:tcBorders>
              <w:bottom w:val="single" w:color="auto" w:sz="8" w:space="0"/>
            </w:tcBorders>
            <w:vAlign w:val="top"/>
          </w:tcPr>
          <w:p w14:paraId="3E9F3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75" w:lineRule="atLeast"/>
              <w:jc w:val="center"/>
              <w:textAlignment w:val="auto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下标为说明文字</w:t>
            </w:r>
          </w:p>
        </w:tc>
        <w:tc>
          <w:tcPr>
            <w:tcW w:w="2115" w:type="dxa"/>
            <w:tcBorders>
              <w:bottom w:val="single" w:color="auto" w:sz="8" w:space="0"/>
            </w:tcBorders>
            <w:vAlign w:val="top"/>
          </w:tcPr>
          <w:p w14:paraId="3FE22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75" w:lineRule="atLeast"/>
              <w:jc w:val="center"/>
              <w:textAlignment w:val="auto"/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正体</w:t>
            </w:r>
          </w:p>
        </w:tc>
        <w:tc>
          <w:tcPr>
            <w:tcW w:w="2920" w:type="dxa"/>
            <w:tcBorders>
              <w:bottom w:val="single" w:color="auto" w:sz="8" w:space="0"/>
            </w:tcBorders>
            <w:vAlign w:val="top"/>
          </w:tcPr>
          <w:p w14:paraId="79C14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75" w:lineRule="atLeast"/>
              <w:jc w:val="center"/>
              <w:textAlignment w:val="auto"/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color w:val="auto"/>
                <w:kern w:val="0"/>
                <w:szCs w:val="21"/>
                <w:highlight w:val="none"/>
              </w:rPr>
              <w:t>T</w:t>
            </w:r>
            <w:r>
              <w:rPr>
                <w:rFonts w:hint="eastAsia"/>
                <w:color w:val="auto"/>
                <w:kern w:val="0"/>
                <w:szCs w:val="21"/>
                <w:highlight w:val="none"/>
                <w:vertAlign w:val="subscript"/>
                <w:lang w:val="en-US" w:eastAsia="zh-CN"/>
              </w:rPr>
              <w:t>max</w:t>
            </w:r>
            <w:r>
              <w:rPr>
                <w:color w:val="auto"/>
                <w:kern w:val="0"/>
                <w:szCs w:val="21"/>
                <w:highlight w:val="none"/>
              </w:rPr>
              <w:t>（max为说明文字）</w:t>
            </w:r>
          </w:p>
        </w:tc>
      </w:tr>
    </w:tbl>
    <w:p w14:paraId="239F530D">
      <w:pPr>
        <w:pStyle w:val="23"/>
        <w:ind w:right="825"/>
        <w:rPr>
          <w:rFonts w:hint="eastAsia" w:eastAsia="黑体"/>
          <w:b/>
          <w:color w:val="auto"/>
          <w:spacing w:val="-2"/>
          <w:sz w:val="21"/>
          <w:szCs w:val="21"/>
          <w:highlight w:val="none"/>
        </w:rPr>
      </w:pPr>
    </w:p>
    <w:p w14:paraId="7697A1A4">
      <w:pPr>
        <w:pStyle w:val="23"/>
        <w:ind w:right="825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/>
        </w:rPr>
      </w:pP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</w:rPr>
        <w:t xml:space="preserve">2.2 </w:t>
      </w: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  <w:t xml:space="preserve"> 表格格式</w:t>
      </w:r>
    </w:p>
    <w:p w14:paraId="7697A1A5">
      <w:pPr>
        <w:ind w:firstLine="42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  <w:lang w:val="en-US" w:eastAsia="zh-CN"/>
        </w:rPr>
        <w:t>表格为三线表，应包含</w:t>
      </w:r>
      <w:r>
        <w:rPr>
          <w:rFonts w:hint="eastAsia"/>
          <w:color w:val="auto"/>
          <w:szCs w:val="21"/>
          <w:highlight w:val="none"/>
        </w:rPr>
        <w:t>中、英文表题</w:t>
      </w:r>
      <w:r>
        <w:rPr>
          <w:rFonts w:hint="eastAsia"/>
          <w:color w:val="auto"/>
          <w:szCs w:val="21"/>
          <w:highlight w:val="none"/>
          <w:lang w:val="en-US" w:eastAsia="zh-CN"/>
        </w:rPr>
        <w:t>和中文</w:t>
      </w:r>
      <w:r>
        <w:rPr>
          <w:rFonts w:hint="eastAsia"/>
          <w:color w:val="auto"/>
          <w:szCs w:val="21"/>
          <w:highlight w:val="none"/>
        </w:rPr>
        <w:t>表文</w:t>
      </w:r>
      <w:r>
        <w:rPr>
          <w:rFonts w:hint="eastAsia"/>
          <w:color w:val="auto"/>
          <w:szCs w:val="21"/>
          <w:highlight w:val="none"/>
          <w:lang w:eastAsia="zh-CN"/>
        </w:rPr>
        <w:t>。</w:t>
      </w:r>
      <w:r>
        <w:rPr>
          <w:rFonts w:hint="eastAsia"/>
          <w:color w:val="auto"/>
          <w:szCs w:val="21"/>
          <w:highlight w:val="none"/>
          <w:lang w:val="en-US" w:eastAsia="zh-CN"/>
        </w:rPr>
        <w:t>若有单位，</w:t>
      </w:r>
      <w:r>
        <w:rPr>
          <w:rFonts w:hint="eastAsia"/>
          <w:color w:val="auto"/>
          <w:szCs w:val="21"/>
          <w:highlight w:val="none"/>
        </w:rPr>
        <w:t>物理量和单位之间用“/”</w:t>
      </w:r>
      <w:r>
        <w:rPr>
          <w:rFonts w:hint="eastAsia"/>
          <w:color w:val="auto"/>
          <w:szCs w:val="21"/>
          <w:highlight w:val="none"/>
          <w:lang w:val="en-US" w:eastAsia="zh-CN"/>
        </w:rPr>
        <w:t>分隔，</w:t>
      </w:r>
      <w:r>
        <w:rPr>
          <w:rFonts w:hint="eastAsia"/>
          <w:color w:val="auto"/>
          <w:szCs w:val="21"/>
          <w:highlight w:val="none"/>
        </w:rPr>
        <w:t>如表</w:t>
      </w:r>
      <w:r>
        <w:rPr>
          <w:rFonts w:hint="eastAsia"/>
          <w:color w:val="auto"/>
          <w:szCs w:val="21"/>
          <w:highlight w:val="none"/>
          <w:lang w:val="en-US" w:eastAsia="zh-CN"/>
        </w:rPr>
        <w:t>2</w:t>
      </w:r>
      <w:r>
        <w:rPr>
          <w:rFonts w:hint="eastAsia"/>
          <w:color w:val="auto"/>
          <w:szCs w:val="21"/>
          <w:highlight w:val="none"/>
        </w:rPr>
        <w:t>所示。</w:t>
      </w:r>
    </w:p>
    <w:p w14:paraId="4B47DCB4">
      <w:pPr>
        <w:ind w:firstLine="420"/>
        <w:rPr>
          <w:rFonts w:hint="eastAsia"/>
          <w:color w:val="auto"/>
          <w:szCs w:val="21"/>
          <w:highlight w:val="none"/>
        </w:rPr>
      </w:pPr>
    </w:p>
    <w:p w14:paraId="67C707FB">
      <w:pPr>
        <w:spacing w:line="300" w:lineRule="auto"/>
        <w:jc w:val="center"/>
        <w:rPr>
          <w:b/>
          <w:bCs/>
          <w:color w:val="auto"/>
          <w:szCs w:val="21"/>
          <w:highlight w:val="none"/>
        </w:rPr>
      </w:pPr>
      <w:r>
        <w:rPr>
          <w:b/>
          <w:bCs/>
          <w:color w:val="auto"/>
          <w:szCs w:val="21"/>
          <w:highlight w:val="none"/>
        </w:rPr>
        <w:t>表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>2</w:t>
      </w:r>
      <w:r>
        <w:rPr>
          <w:b/>
          <w:bCs/>
          <w:color w:val="auto"/>
          <w:szCs w:val="21"/>
          <w:highlight w:val="none"/>
        </w:rPr>
        <w:t xml:space="preserve"> 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 xml:space="preserve"> La-Zr合金的性能</w:t>
      </w:r>
    </w:p>
    <w:p w14:paraId="3E0DBAB4">
      <w:pPr>
        <w:spacing w:line="300" w:lineRule="auto"/>
        <w:jc w:val="center"/>
        <w:rPr>
          <w:rFonts w:hint="default" w:eastAsia="宋体"/>
          <w:b/>
          <w:bCs/>
          <w:color w:val="auto"/>
          <w:szCs w:val="21"/>
          <w:highlight w:val="none"/>
          <w:lang w:val="en-US" w:eastAsia="zh-CN"/>
        </w:rPr>
      </w:pPr>
      <w:r>
        <w:rPr>
          <w:b/>
          <w:bCs/>
          <w:color w:val="auto"/>
          <w:szCs w:val="21"/>
          <w:highlight w:val="none"/>
        </w:rPr>
        <w:t>Tab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>.2</w:t>
      </w:r>
      <w:r>
        <w:rPr>
          <w:b/>
          <w:bCs/>
          <w:color w:val="auto"/>
          <w:szCs w:val="21"/>
          <w:highlight w:val="none"/>
        </w:rPr>
        <w:t xml:space="preserve"> </w:t>
      </w:r>
      <w:r>
        <w:rPr>
          <w:rFonts w:hint="eastAsia"/>
          <w:b/>
          <w:bCs/>
          <w:color w:val="auto"/>
          <w:szCs w:val="21"/>
          <w:highlight w:val="none"/>
          <w:lang w:val="en-US" w:eastAsia="zh-CN"/>
        </w:rPr>
        <w:t xml:space="preserve"> Properties of La-Zr alloys</w:t>
      </w:r>
    </w:p>
    <w:tbl>
      <w:tblPr>
        <w:tblStyle w:val="11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2115"/>
        <w:gridCol w:w="2115"/>
        <w:gridCol w:w="1943"/>
      </w:tblGrid>
      <w:tr w14:paraId="7F192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24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044C5CB2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样品</w:t>
            </w:r>
          </w:p>
        </w:tc>
        <w:tc>
          <w:tcPr>
            <w:tcW w:w="2115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1A47B5FE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抗拉强度/MPa</w:t>
            </w:r>
          </w:p>
        </w:tc>
        <w:tc>
          <w:tcPr>
            <w:tcW w:w="2115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1EBB0DF1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伸长率/%</w:t>
            </w:r>
          </w:p>
        </w:tc>
        <w:tc>
          <w:tcPr>
            <w:tcW w:w="1943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1743FFC6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导电率/%IACS</w:t>
            </w:r>
          </w:p>
        </w:tc>
      </w:tr>
      <w:tr w14:paraId="588C3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324" w:type="dxa"/>
            <w:tcBorders>
              <w:top w:val="single" w:color="auto" w:sz="4" w:space="0"/>
            </w:tcBorders>
            <w:vAlign w:val="top"/>
          </w:tcPr>
          <w:p w14:paraId="757E9BB4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auto" w:sz="4" w:space="0"/>
            </w:tcBorders>
            <w:vAlign w:val="top"/>
          </w:tcPr>
          <w:p w14:paraId="65768469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490</w:t>
            </w:r>
          </w:p>
        </w:tc>
        <w:tc>
          <w:tcPr>
            <w:tcW w:w="2115" w:type="dxa"/>
            <w:tcBorders>
              <w:top w:val="single" w:color="auto" w:sz="4" w:space="0"/>
            </w:tcBorders>
            <w:vAlign w:val="top"/>
          </w:tcPr>
          <w:p w14:paraId="53AD36F7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43" w:type="dxa"/>
            <w:tcBorders>
              <w:top w:val="single" w:color="auto" w:sz="4" w:space="0"/>
            </w:tcBorders>
            <w:vAlign w:val="top"/>
          </w:tcPr>
          <w:p w14:paraId="4FA35B64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60</w:t>
            </w:r>
          </w:p>
        </w:tc>
      </w:tr>
      <w:tr w14:paraId="58538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1324" w:type="dxa"/>
            <w:vAlign w:val="top"/>
          </w:tcPr>
          <w:p w14:paraId="326E9D3E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115" w:type="dxa"/>
            <w:vAlign w:val="top"/>
          </w:tcPr>
          <w:p w14:paraId="2726A35E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530</w:t>
            </w:r>
          </w:p>
        </w:tc>
        <w:tc>
          <w:tcPr>
            <w:tcW w:w="2115" w:type="dxa"/>
            <w:vAlign w:val="top"/>
          </w:tcPr>
          <w:p w14:paraId="4891552A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43" w:type="dxa"/>
            <w:vAlign w:val="top"/>
          </w:tcPr>
          <w:p w14:paraId="162FFA54">
            <w:pPr>
              <w:widowControl/>
              <w:spacing w:line="375" w:lineRule="atLeast"/>
              <w:jc w:val="center"/>
              <w:rPr>
                <w:rFonts w:hint="default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65</w:t>
            </w:r>
          </w:p>
        </w:tc>
      </w:tr>
      <w:tr w14:paraId="63B95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24" w:type="dxa"/>
            <w:tcBorders>
              <w:bottom w:val="single" w:color="auto" w:sz="8" w:space="0"/>
            </w:tcBorders>
            <w:vAlign w:val="top"/>
          </w:tcPr>
          <w:p w14:paraId="123ABE52">
            <w:pPr>
              <w:widowControl/>
              <w:spacing w:line="375" w:lineRule="atLeast"/>
              <w:jc w:val="center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bottom w:val="single" w:color="auto" w:sz="8" w:space="0"/>
            </w:tcBorders>
            <w:vAlign w:val="top"/>
          </w:tcPr>
          <w:p w14:paraId="2A2F43DB">
            <w:pPr>
              <w:widowControl/>
              <w:spacing w:line="375" w:lineRule="atLeast"/>
              <w:jc w:val="center"/>
              <w:rPr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670</w:t>
            </w:r>
          </w:p>
        </w:tc>
        <w:tc>
          <w:tcPr>
            <w:tcW w:w="2115" w:type="dxa"/>
            <w:tcBorders>
              <w:bottom w:val="single" w:color="auto" w:sz="8" w:space="0"/>
            </w:tcBorders>
            <w:vAlign w:val="top"/>
          </w:tcPr>
          <w:p w14:paraId="7813DDBD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43" w:type="dxa"/>
            <w:tcBorders>
              <w:bottom w:val="single" w:color="auto" w:sz="8" w:space="0"/>
            </w:tcBorders>
            <w:vAlign w:val="top"/>
          </w:tcPr>
          <w:p w14:paraId="6D51DA83">
            <w:pPr>
              <w:widowControl/>
              <w:spacing w:line="375" w:lineRule="atLeast"/>
              <w:jc w:val="center"/>
              <w:rPr>
                <w:rFonts w:hint="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/>
                <w:color w:val="auto"/>
                <w:kern w:val="0"/>
                <w:szCs w:val="21"/>
                <w:highlight w:val="none"/>
                <w:lang w:val="en-US" w:eastAsia="zh-CN"/>
              </w:rPr>
              <w:t>50</w:t>
            </w:r>
          </w:p>
        </w:tc>
      </w:tr>
    </w:tbl>
    <w:p w14:paraId="7CF96E47">
      <w:pPr>
        <w:pStyle w:val="23"/>
        <w:ind w:right="825"/>
        <w:rPr>
          <w:rFonts w:hint="eastAsia" w:eastAsia="黑体"/>
          <w:b/>
          <w:color w:val="auto"/>
          <w:spacing w:val="-2"/>
          <w:sz w:val="21"/>
          <w:szCs w:val="21"/>
          <w:highlight w:val="none"/>
        </w:rPr>
      </w:pPr>
    </w:p>
    <w:p w14:paraId="0343C3F2">
      <w:pPr>
        <w:rPr>
          <w:rFonts w:hint="eastAsia"/>
          <w:color w:val="auto"/>
          <w:szCs w:val="21"/>
          <w:highlight w:val="none"/>
        </w:rPr>
      </w:pPr>
    </w:p>
    <w:p w14:paraId="0A195294">
      <w:pPr>
        <w:rPr>
          <w:color w:val="auto"/>
          <w:sz w:val="20"/>
          <w:highlight w:val="none"/>
        </w:rPr>
      </w:pPr>
    </w:p>
    <w:p w14:paraId="77FEEBBD">
      <w:pP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</w:pP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br w:type="page"/>
      </w:r>
    </w:p>
    <w:p w14:paraId="7697A1B5">
      <w:pPr>
        <w:rPr>
          <w:rFonts w:hint="default" w:ascii="黑体" w:hAnsi="黑体" w:eastAsia="黑体" w:cs="黑体"/>
          <w:b/>
          <w:color w:val="auto"/>
          <w:szCs w:val="21"/>
          <w:highlight w:val="none"/>
          <w:lang w:val="en-US"/>
        </w:rPr>
      </w:pP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 xml:space="preserve">2.3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 xml:space="preserve"> 图片格式</w:t>
      </w:r>
    </w:p>
    <w:p w14:paraId="4E375DE7">
      <w:pPr>
        <w:jc w:val="center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 </w:t>
      </w:r>
    </w:p>
    <w:p w14:paraId="7FE3E92B">
      <w:pPr>
        <w:jc w:val="center"/>
      </w:pPr>
      <w:r>
        <w:drawing>
          <wp:inline distT="0" distB="0" distL="114300" distR="114300">
            <wp:extent cx="2810510" cy="1941195"/>
            <wp:effectExtent l="0" t="0" r="8890" b="190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57500" cy="1955165"/>
            <wp:effectExtent l="0" t="0" r="0" b="698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90959">
      <w:pPr>
        <w:jc w:val="center"/>
        <w:rPr>
          <w:rFonts w:hint="eastAsia"/>
          <w:sz w:val="20"/>
        </w:rPr>
      </w:pPr>
      <w:r>
        <w:rPr>
          <w:rFonts w:hint="eastAsia"/>
          <w:color w:val="auto"/>
          <w:szCs w:val="16"/>
          <w:highlight w:val="none"/>
        </w:rPr>
        <w:t>（a）</w:t>
      </w:r>
      <w:r>
        <w:rPr>
          <w:rFonts w:hint="eastAsia"/>
          <w:color w:val="auto"/>
          <w:szCs w:val="16"/>
          <w:highlight w:val="none"/>
          <w:lang w:val="en-US" w:eastAsia="zh-CN"/>
        </w:rPr>
        <w:t>合金的XRD图</w:t>
      </w:r>
      <w:r>
        <w:rPr>
          <w:rFonts w:hint="eastAsia"/>
          <w:color w:val="auto"/>
          <w:szCs w:val="16"/>
          <w:highlight w:val="none"/>
        </w:rPr>
        <w:t xml:space="preserve"> </w:t>
      </w:r>
      <w:r>
        <w:rPr>
          <w:color w:val="auto"/>
          <w:szCs w:val="16"/>
          <w:highlight w:val="none"/>
        </w:rPr>
        <w:t xml:space="preserve">       </w:t>
      </w:r>
      <w:r>
        <w:rPr>
          <w:rFonts w:hint="eastAsia"/>
          <w:color w:val="auto"/>
          <w:szCs w:val="16"/>
          <w:highlight w:val="none"/>
          <w:lang w:val="en-US" w:eastAsia="zh-CN"/>
        </w:rPr>
        <w:t xml:space="preserve">            </w:t>
      </w:r>
      <w:r>
        <w:rPr>
          <w:color w:val="auto"/>
          <w:szCs w:val="16"/>
          <w:highlight w:val="none"/>
        </w:rPr>
        <w:t xml:space="preserve"> </w:t>
      </w:r>
      <w:r>
        <w:rPr>
          <w:rFonts w:hint="eastAsia"/>
          <w:color w:val="auto"/>
          <w:szCs w:val="16"/>
          <w:highlight w:val="none"/>
        </w:rPr>
        <w:t>（b）</w:t>
      </w:r>
      <w:r>
        <w:rPr>
          <w:rFonts w:hint="eastAsia"/>
          <w:sz w:val="20"/>
          <w:lang w:val="en-US" w:eastAsia="zh-CN"/>
        </w:rPr>
        <w:t>剪切强度</w:t>
      </w:r>
      <w:r>
        <w:rPr>
          <w:rFonts w:hint="eastAsia"/>
          <w:sz w:val="20"/>
        </w:rPr>
        <w:t>曲线</w:t>
      </w:r>
    </w:p>
    <w:p w14:paraId="0397A5A0">
      <w:pPr>
        <w:jc w:val="center"/>
        <w:rPr>
          <w:rFonts w:hint="eastAsia"/>
          <w:sz w:val="20"/>
        </w:rPr>
      </w:pPr>
    </w:p>
    <w:p w14:paraId="7BEA06AF">
      <w:pPr>
        <w:spacing w:line="720" w:lineRule="auto"/>
        <w:contextualSpacing/>
        <w:jc w:val="center"/>
      </w:pPr>
      <w:r>
        <w:drawing>
          <wp:inline distT="0" distB="0" distL="114300" distR="114300">
            <wp:extent cx="2921635" cy="1919605"/>
            <wp:effectExtent l="0" t="0" r="12065" b="4445"/>
            <wp:docPr id="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1635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16505" cy="1873250"/>
            <wp:effectExtent l="0" t="0" r="17145" b="12700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650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6C7A">
      <w:pPr>
        <w:jc w:val="center"/>
        <w:rPr>
          <w:rFonts w:hint="default" w:eastAsia="宋体"/>
          <w:color w:val="auto"/>
          <w:szCs w:val="16"/>
          <w:highlight w:val="none"/>
          <w:lang w:val="en-US" w:eastAsia="zh-CN"/>
        </w:rPr>
      </w:pPr>
      <w:r>
        <w:rPr>
          <w:rFonts w:hint="eastAsia"/>
          <w:color w:val="auto"/>
          <w:szCs w:val="16"/>
          <w:highlight w:val="none"/>
        </w:rPr>
        <w:t>（</w:t>
      </w:r>
      <w:r>
        <w:rPr>
          <w:rFonts w:hint="eastAsia"/>
          <w:color w:val="auto"/>
          <w:szCs w:val="16"/>
          <w:highlight w:val="none"/>
          <w:lang w:val="en-US" w:eastAsia="zh-CN"/>
        </w:rPr>
        <w:t>c</w:t>
      </w:r>
      <w:r>
        <w:rPr>
          <w:rFonts w:hint="eastAsia"/>
          <w:color w:val="auto"/>
          <w:szCs w:val="16"/>
          <w:highlight w:val="none"/>
        </w:rPr>
        <w:t>）</w:t>
      </w:r>
      <w:r>
        <w:rPr>
          <w:rFonts w:hint="eastAsia"/>
          <w:color w:val="auto"/>
          <w:szCs w:val="16"/>
          <w:highlight w:val="none"/>
          <w:lang w:val="en-US" w:eastAsia="zh-CN"/>
        </w:rPr>
        <w:t>La 质量分数对表面粗糙度的影响</w:t>
      </w:r>
      <w:r>
        <w:rPr>
          <w:rFonts w:hint="eastAsia"/>
          <w:color w:val="auto"/>
          <w:szCs w:val="16"/>
          <w:highlight w:val="none"/>
        </w:rPr>
        <w:t xml:space="preserve"> </w:t>
      </w:r>
      <w:r>
        <w:rPr>
          <w:color w:val="auto"/>
          <w:szCs w:val="16"/>
          <w:highlight w:val="none"/>
        </w:rPr>
        <w:t xml:space="preserve">   </w:t>
      </w:r>
      <w:r>
        <w:rPr>
          <w:rFonts w:hint="eastAsia"/>
          <w:color w:val="auto"/>
          <w:szCs w:val="16"/>
          <w:highlight w:val="none"/>
          <w:lang w:val="en-US" w:eastAsia="zh-CN"/>
        </w:rPr>
        <w:t xml:space="preserve"> </w:t>
      </w:r>
      <w:r>
        <w:rPr>
          <w:color w:val="auto"/>
          <w:szCs w:val="16"/>
          <w:highlight w:val="none"/>
        </w:rPr>
        <w:t xml:space="preserve"> </w:t>
      </w:r>
      <w:r>
        <w:rPr>
          <w:rFonts w:hint="eastAsia"/>
          <w:color w:val="auto"/>
          <w:szCs w:val="16"/>
          <w:highlight w:val="none"/>
        </w:rPr>
        <w:t>（</w:t>
      </w:r>
      <w:r>
        <w:rPr>
          <w:rFonts w:hint="eastAsia"/>
          <w:color w:val="auto"/>
          <w:szCs w:val="16"/>
          <w:highlight w:val="none"/>
          <w:lang w:val="en-US" w:eastAsia="zh-CN"/>
        </w:rPr>
        <w:t>d</w:t>
      </w:r>
      <w:r>
        <w:rPr>
          <w:rFonts w:hint="eastAsia"/>
          <w:color w:val="auto"/>
          <w:szCs w:val="16"/>
          <w:highlight w:val="none"/>
        </w:rPr>
        <w:t>）</w:t>
      </w:r>
      <w:r>
        <w:rPr>
          <w:rFonts w:hint="eastAsia"/>
          <w:color w:val="auto"/>
          <w:szCs w:val="16"/>
          <w:highlight w:val="none"/>
          <w:lang w:val="en-US" w:eastAsia="zh-CN"/>
        </w:rPr>
        <w:t>La质量分数为2%的</w:t>
      </w:r>
      <w:r>
        <w:rPr>
          <w:rFonts w:hint="eastAsia"/>
          <w:sz w:val="20"/>
        </w:rPr>
        <w:t>合金</w:t>
      </w:r>
      <w:r>
        <w:rPr>
          <w:rFonts w:hint="eastAsia"/>
          <w:sz w:val="20"/>
          <w:lang w:val="en-US" w:eastAsia="zh-CN"/>
        </w:rPr>
        <w:t>显微组织</w:t>
      </w:r>
    </w:p>
    <w:p w14:paraId="2B1137FA">
      <w:pPr>
        <w:jc w:val="center"/>
        <w:rPr>
          <w:b/>
          <w:bCs/>
          <w:color w:val="auto"/>
          <w:szCs w:val="16"/>
          <w:highlight w:val="none"/>
        </w:rPr>
      </w:pPr>
      <w:r>
        <w:rPr>
          <w:b/>
          <w:bCs/>
          <w:color w:val="auto"/>
          <w:szCs w:val="16"/>
          <w:highlight w:val="none"/>
        </w:rPr>
        <w:t xml:space="preserve">图1 </w:t>
      </w:r>
      <w:r>
        <w:rPr>
          <w:rFonts w:hint="eastAsia"/>
          <w:b/>
          <w:bCs/>
          <w:color w:val="auto"/>
          <w:szCs w:val="16"/>
          <w:highlight w:val="none"/>
          <w:lang w:val="en-US" w:eastAsia="zh-CN"/>
        </w:rPr>
        <w:t xml:space="preserve"> La-Zr合金</w:t>
      </w:r>
      <w:r>
        <w:rPr>
          <w:b/>
          <w:bCs/>
          <w:color w:val="auto"/>
          <w:szCs w:val="16"/>
          <w:highlight w:val="none"/>
        </w:rPr>
        <w:t>的物相、显微组织与性能表征</w:t>
      </w:r>
    </w:p>
    <w:p w14:paraId="4E9D2F7D">
      <w:pPr>
        <w:jc w:val="center"/>
        <w:rPr>
          <w:rFonts w:hint="eastAsia"/>
          <w:b/>
          <w:bCs/>
          <w:color w:val="auto"/>
          <w:szCs w:val="16"/>
          <w:highlight w:val="none"/>
          <w:lang w:val="en-US" w:eastAsia="zh-CN"/>
        </w:rPr>
      </w:pPr>
      <w:r>
        <w:rPr>
          <w:b/>
          <w:bCs/>
          <w:color w:val="auto"/>
          <w:kern w:val="0"/>
          <w:szCs w:val="16"/>
          <w:highlight w:val="none"/>
        </w:rPr>
        <w:t>Fig.</w:t>
      </w:r>
      <w:r>
        <w:rPr>
          <w:b/>
          <w:bCs/>
          <w:color w:val="auto"/>
          <w:szCs w:val="16"/>
          <w:highlight w:val="none"/>
        </w:rPr>
        <w:t>1  Phase, microstructure and property characterization of the La-Zr alloy</w:t>
      </w:r>
      <w:r>
        <w:rPr>
          <w:rFonts w:hint="eastAsia"/>
          <w:b/>
          <w:bCs/>
          <w:color w:val="auto"/>
          <w:szCs w:val="16"/>
          <w:highlight w:val="none"/>
          <w:lang w:val="en-US" w:eastAsia="zh-CN"/>
        </w:rPr>
        <w:t>s</w:t>
      </w:r>
    </w:p>
    <w:p w14:paraId="665592B1">
      <w:pPr>
        <w:jc w:val="center"/>
        <w:rPr>
          <w:rFonts w:hint="eastAsia"/>
          <w:b/>
          <w:bCs/>
          <w:color w:val="auto"/>
          <w:szCs w:val="16"/>
          <w:highlight w:val="none"/>
          <w:lang w:val="en-US" w:eastAsia="zh-CN"/>
        </w:rPr>
      </w:pPr>
    </w:p>
    <w:p w14:paraId="40017E0B">
      <w:pPr>
        <w:ind w:firstLine="420" w:firstLineChars="200"/>
        <w:rPr>
          <w:rFonts w:hint="default"/>
          <w:b/>
          <w:color w:val="auto"/>
          <w:sz w:val="18"/>
          <w:szCs w:val="18"/>
          <w:highlight w:val="none"/>
          <w:lang w:val="en-US" w:eastAsia="zh-CN"/>
        </w:rPr>
      </w:pPr>
      <w:r>
        <w:rPr>
          <w:rFonts w:hint="eastAsia"/>
          <w:color w:val="auto"/>
          <w:szCs w:val="21"/>
          <w:highlight w:val="none"/>
          <w:lang w:val="en-US" w:eastAsia="zh-CN"/>
        </w:rPr>
        <w:t>图片清晰度300dpi。曲线图和柱状图</w:t>
      </w:r>
      <w:r>
        <w:rPr>
          <w:rFonts w:hint="eastAsia"/>
          <w:color w:val="auto"/>
          <w:szCs w:val="21"/>
          <w:highlight w:val="none"/>
        </w:rPr>
        <w:t>建议用O</w:t>
      </w:r>
      <w:r>
        <w:rPr>
          <w:color w:val="auto"/>
          <w:szCs w:val="21"/>
          <w:highlight w:val="none"/>
        </w:rPr>
        <w:t>rigin</w:t>
      </w:r>
      <w:r>
        <w:rPr>
          <w:rFonts w:hint="eastAsia"/>
          <w:color w:val="auto"/>
          <w:szCs w:val="21"/>
          <w:highlight w:val="none"/>
          <w:lang w:val="en-US" w:eastAsia="zh-CN"/>
        </w:rPr>
        <w:t>绘制，多条曲线请分别标注（出版图片为黑白，无法依靠颜色分辨，需用不同形状的点或文字标注区分）</w:t>
      </w:r>
      <w:r>
        <w:rPr>
          <w:rFonts w:hint="eastAsia"/>
          <w:color w:val="auto"/>
          <w:szCs w:val="21"/>
          <w:highlight w:val="none"/>
        </w:rPr>
        <w:t>。图内纵、横坐标由物理量名称（必须为中文）和单位</w:t>
      </w:r>
      <w:r>
        <w:rPr>
          <w:rFonts w:hint="eastAsia"/>
          <w:color w:val="auto"/>
          <w:szCs w:val="21"/>
          <w:highlight w:val="none"/>
          <w:lang w:val="en-US" w:eastAsia="zh-CN"/>
        </w:rPr>
        <w:t>两</w:t>
      </w:r>
      <w:r>
        <w:rPr>
          <w:rFonts w:hint="eastAsia"/>
          <w:color w:val="auto"/>
          <w:szCs w:val="21"/>
          <w:highlight w:val="none"/>
        </w:rPr>
        <w:t>部分组成</w:t>
      </w:r>
      <w:r>
        <w:rPr>
          <w:rFonts w:hint="eastAsia"/>
          <w:color w:val="auto"/>
          <w:szCs w:val="21"/>
          <w:highlight w:val="none"/>
          <w:lang w:eastAsia="zh-CN"/>
        </w:rPr>
        <w:t>，</w:t>
      </w:r>
      <w:r>
        <w:rPr>
          <w:rFonts w:hint="eastAsia"/>
          <w:color w:val="auto"/>
          <w:szCs w:val="21"/>
          <w:highlight w:val="none"/>
          <w:lang w:val="en-US" w:eastAsia="zh-CN"/>
        </w:rPr>
        <w:t>若是符合单位或角度则需要在单位上加括号（如：比容量/(mA</w:t>
      </w:r>
      <w:r>
        <w:rPr>
          <w:rFonts w:hint="default" w:ascii="Times New Roman" w:hAnsi="Times New Roman" w:cs="Times New Roman"/>
          <w:color w:val="auto"/>
          <w:szCs w:val="21"/>
          <w:highlight w:val="none"/>
          <w:lang w:val="en-US" w:eastAsia="zh-CN"/>
        </w:rPr>
        <w:t>·</w:t>
      </w:r>
      <w:r>
        <w:rPr>
          <w:rFonts w:hint="eastAsia"/>
          <w:color w:val="auto"/>
          <w:szCs w:val="21"/>
          <w:highlight w:val="none"/>
          <w:lang w:val="en-US" w:eastAsia="zh-CN"/>
        </w:rPr>
        <w:t>h</w:t>
      </w:r>
      <w:r>
        <w:rPr>
          <w:rFonts w:hint="default" w:ascii="Times New Roman" w:hAnsi="Times New Roman" w:cs="Times New Roman"/>
          <w:color w:val="auto"/>
          <w:szCs w:val="21"/>
          <w:highlight w:val="none"/>
          <w:lang w:val="en-US" w:eastAsia="zh-CN"/>
        </w:rPr>
        <w:t>·</w:t>
      </w:r>
      <w:r>
        <w:rPr>
          <w:rFonts w:hint="eastAsia"/>
          <w:color w:val="auto"/>
          <w:szCs w:val="21"/>
          <w:highlight w:val="none"/>
          <w:lang w:val="en-US" w:eastAsia="zh-CN"/>
        </w:rPr>
        <w:t>g</w:t>
      </w:r>
      <w:r>
        <w:rPr>
          <w:rFonts w:hint="eastAsia"/>
          <w:color w:val="auto"/>
          <w:szCs w:val="21"/>
          <w:highlight w:val="none"/>
          <w:vertAlign w:val="superscript"/>
          <w:lang w:val="en-US" w:eastAsia="zh-CN"/>
        </w:rPr>
        <w:t>-1</w:t>
      </w:r>
      <w:r>
        <w:rPr>
          <w:rFonts w:hint="eastAsia"/>
          <w:color w:val="auto"/>
          <w:szCs w:val="21"/>
          <w:highlight w:val="none"/>
          <w:lang w:val="en-US" w:eastAsia="zh-CN"/>
        </w:rPr>
        <w:t>)）</w:t>
      </w:r>
      <w:r>
        <w:rPr>
          <w:rFonts w:hint="eastAsia"/>
          <w:color w:val="auto"/>
          <w:szCs w:val="21"/>
          <w:highlight w:val="none"/>
        </w:rPr>
        <w:t>。物理量和单位之间用“/”</w:t>
      </w:r>
      <w:r>
        <w:rPr>
          <w:rFonts w:hint="eastAsia"/>
          <w:color w:val="auto"/>
          <w:szCs w:val="21"/>
          <w:highlight w:val="none"/>
          <w:lang w:val="en-US" w:eastAsia="zh-CN"/>
        </w:rPr>
        <w:t>分隔，刻度线向内。图片内的文字为中文，若有物理量请参照1.1单位格式和表1物理量格式。</w:t>
      </w:r>
    </w:p>
    <w:p w14:paraId="60FD5B02">
      <w:pPr>
        <w:ind w:firstLine="420" w:firstLineChars="200"/>
        <w:rPr>
          <w:rFonts w:hint="default" w:eastAsia="宋体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/>
          <w:color w:val="auto"/>
          <w:szCs w:val="21"/>
          <w:highlight w:val="none"/>
        </w:rPr>
        <w:t>多幅小图不要合并成一张图，</w:t>
      </w:r>
      <w:r>
        <w:rPr>
          <w:rFonts w:hint="eastAsia"/>
          <w:color w:val="auto"/>
          <w:szCs w:val="21"/>
          <w:highlight w:val="none"/>
          <w:lang w:val="en-US" w:eastAsia="zh-CN"/>
        </w:rPr>
        <w:t>请</w:t>
      </w:r>
      <w:r>
        <w:rPr>
          <w:rFonts w:hint="eastAsia"/>
          <w:color w:val="auto"/>
          <w:szCs w:val="21"/>
          <w:highlight w:val="none"/>
        </w:rPr>
        <w:t>分别贴图</w:t>
      </w:r>
      <w:r>
        <w:rPr>
          <w:rFonts w:hint="eastAsia"/>
          <w:b w:val="0"/>
          <w:bCs w:val="0"/>
          <w:color w:val="auto"/>
          <w:szCs w:val="21"/>
          <w:highlight w:val="none"/>
          <w:lang w:val="en-US" w:eastAsia="zh-CN"/>
        </w:rPr>
        <w:t>。每幅图下方标注</w:t>
      </w:r>
      <w:r>
        <w:rPr>
          <w:rFonts w:hint="eastAsia"/>
          <w:b w:val="0"/>
          <w:bCs w:val="0"/>
          <w:color w:val="auto"/>
          <w:szCs w:val="21"/>
          <w:highlight w:val="none"/>
        </w:rPr>
        <w:t>（a）中文小标题</w:t>
      </w:r>
      <w:r>
        <w:rPr>
          <w:rFonts w:hint="eastAsia"/>
          <w:b w:val="0"/>
          <w:bCs w:val="0"/>
          <w:color w:val="auto"/>
          <w:szCs w:val="21"/>
          <w:highlight w:val="none"/>
          <w:lang w:eastAsia="zh-CN"/>
        </w:rPr>
        <w:t>，</w:t>
      </w:r>
      <w:r>
        <w:rPr>
          <w:rFonts w:hint="eastAsia"/>
          <w:b w:val="0"/>
          <w:bCs w:val="0"/>
          <w:color w:val="auto"/>
          <w:szCs w:val="21"/>
          <w:highlight w:val="none"/>
        </w:rPr>
        <w:t>（</w:t>
      </w:r>
      <w:r>
        <w:rPr>
          <w:b w:val="0"/>
          <w:bCs w:val="0"/>
          <w:color w:val="auto"/>
          <w:szCs w:val="21"/>
          <w:highlight w:val="none"/>
        </w:rPr>
        <w:t>b</w:t>
      </w:r>
      <w:r>
        <w:rPr>
          <w:rFonts w:hint="eastAsia"/>
          <w:b w:val="0"/>
          <w:bCs w:val="0"/>
          <w:color w:val="auto"/>
          <w:szCs w:val="21"/>
          <w:highlight w:val="none"/>
        </w:rPr>
        <w:t>）中文小标题</w:t>
      </w:r>
      <w:r>
        <w:rPr>
          <w:rFonts w:hint="eastAsia"/>
          <w:b w:val="0"/>
          <w:bCs w:val="0"/>
          <w:color w:val="auto"/>
          <w:szCs w:val="21"/>
          <w:highlight w:val="none"/>
          <w:lang w:eastAsia="zh-CN"/>
        </w:rPr>
        <w:t>。</w:t>
      </w:r>
      <w:r>
        <w:rPr>
          <w:rFonts w:hint="eastAsia"/>
          <w:b w:val="0"/>
          <w:bCs w:val="0"/>
          <w:color w:val="auto"/>
          <w:szCs w:val="21"/>
          <w:highlight w:val="none"/>
        </w:rPr>
        <w:t>另起一行标注中英文</w:t>
      </w:r>
      <w:r>
        <w:rPr>
          <w:rFonts w:hint="eastAsia"/>
          <w:b w:val="0"/>
          <w:bCs w:val="0"/>
          <w:color w:val="auto"/>
          <w:szCs w:val="21"/>
          <w:highlight w:val="none"/>
          <w:lang w:val="en-US" w:eastAsia="zh-CN"/>
        </w:rPr>
        <w:t>总图题</w:t>
      </w:r>
      <w:r>
        <w:rPr>
          <w:rFonts w:hint="eastAsia"/>
          <w:b w:val="0"/>
          <w:bCs w:val="0"/>
          <w:color w:val="auto"/>
          <w:szCs w:val="21"/>
          <w:highlight w:val="none"/>
        </w:rPr>
        <w:t>。</w:t>
      </w:r>
      <w:r>
        <w:rPr>
          <w:rFonts w:hint="eastAsia"/>
          <w:b w:val="0"/>
          <w:bCs w:val="0"/>
          <w:color w:val="auto"/>
          <w:szCs w:val="21"/>
          <w:highlight w:val="none"/>
          <w:lang w:val="en-US" w:eastAsia="zh-CN"/>
        </w:rPr>
        <w:t>如</w:t>
      </w:r>
      <w:r>
        <w:rPr>
          <w:rFonts w:hint="eastAsia"/>
          <w:b w:val="0"/>
          <w:bCs w:val="0"/>
          <w:color w:val="auto"/>
          <w:szCs w:val="21"/>
          <w:highlight w:val="none"/>
        </w:rPr>
        <w:t>例图1所示。</w:t>
      </w:r>
    </w:p>
    <w:p w14:paraId="36DD2333">
      <w:pPr>
        <w:ind w:firstLine="420" w:firstLineChars="200"/>
        <w:jc w:val="both"/>
        <w:rPr>
          <w:color w:val="auto"/>
          <w:szCs w:val="21"/>
          <w:highlight w:val="none"/>
        </w:rPr>
      </w:pPr>
    </w:p>
    <w:p w14:paraId="117A1A5B">
      <w:pP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  <w:bookmarkStart w:id="0" w:name="OLE_LINK3"/>
      <w:bookmarkStart w:id="1" w:name="OLE_LINK4"/>
      <w:r>
        <w:rPr>
          <w:rFonts w:hint="eastAsia" w:ascii="黑体" w:hAnsi="黑体" w:eastAsia="黑体" w:cs="黑体"/>
          <w:b/>
          <w:color w:val="auto"/>
          <w:sz w:val="28"/>
          <w:szCs w:val="28"/>
          <w:highlight w:val="none"/>
        </w:rPr>
        <w:t xml:space="preserve">3  </w:t>
      </w:r>
      <w:r>
        <w:rPr>
          <w:rFonts w:hint="eastAsia" w:ascii="黑体" w:hAnsi="黑体" w:eastAsia="黑体" w:cs="黑体"/>
          <w:b/>
          <w:bCs w:val="0"/>
          <w:color w:val="auto"/>
          <w:sz w:val="28"/>
          <w:szCs w:val="28"/>
          <w:highlight w:val="none"/>
        </w:rPr>
        <w:t>结论</w:t>
      </w:r>
      <w:r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  <w:t xml:space="preserve"> </w:t>
      </w:r>
    </w:p>
    <w:p w14:paraId="14B99D7C">
      <w:pPr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结论应准确、简明地概括本文最终得出的核心规律或机制，并说明其意义与（如有必要）后续方向；它不是实验数据的简单重复，也不引入新结果。</w:t>
      </w:r>
      <w:r>
        <w:rPr>
          <w:rFonts w:hint="eastAsia"/>
          <w:color w:val="auto"/>
          <w:szCs w:val="21"/>
          <w:highlight w:val="none"/>
          <w:lang w:val="en-US" w:eastAsia="zh-CN"/>
        </w:rPr>
        <w:t>请注意，</w:t>
      </w:r>
      <w:r>
        <w:rPr>
          <w:rFonts w:hint="eastAsia"/>
          <w:color w:val="auto"/>
          <w:szCs w:val="21"/>
          <w:highlight w:val="none"/>
        </w:rPr>
        <w:t>结论是论文最终的总体论断，不是摘要或结果的重复。</w:t>
      </w:r>
    </w:p>
    <w:p w14:paraId="566D6FB6">
      <w:pPr>
        <w:ind w:firstLine="420" w:firstLineChars="200"/>
        <w:rPr>
          <w:rFonts w:hint="eastAsia"/>
          <w:color w:val="auto"/>
          <w:szCs w:val="21"/>
          <w:highlight w:val="none"/>
        </w:rPr>
      </w:pPr>
    </w:p>
    <w:bookmarkEnd w:id="0"/>
    <w:bookmarkEnd w:id="1"/>
    <w:p w14:paraId="1EA5B778">
      <w:pPr>
        <w:pStyle w:val="3"/>
        <w:spacing w:line="240" w:lineRule="atLeast"/>
        <w:ind w:firstLine="0"/>
        <w:rPr>
          <w:b w:val="0"/>
          <w:bCs/>
          <w:color w:val="auto"/>
          <w:szCs w:val="21"/>
          <w:highlight w:val="none"/>
        </w:rPr>
      </w:pPr>
      <w:r>
        <w:rPr>
          <w:rFonts w:hint="eastAsia" w:ascii="黑体" w:hAnsi="黑体" w:eastAsia="黑体" w:cs="黑体"/>
          <w:b/>
          <w:color w:val="auto"/>
          <w:sz w:val="28"/>
          <w:szCs w:val="28"/>
          <w:highlight w:val="none"/>
        </w:rPr>
        <w:t>参考文献</w:t>
      </w:r>
      <w:r>
        <w:rPr>
          <w:rFonts w:hint="eastAsia" w:eastAsia="黑体"/>
          <w:b/>
          <w:color w:val="auto"/>
          <w:sz w:val="28"/>
          <w:szCs w:val="28"/>
          <w:highlight w:val="none"/>
        </w:rPr>
        <w:t>：</w:t>
      </w:r>
      <w:r>
        <w:rPr>
          <w:b w:val="0"/>
          <w:bCs/>
          <w:color w:val="auto"/>
          <w:szCs w:val="21"/>
          <w:highlight w:val="none"/>
        </w:rPr>
        <w:t xml:space="preserve"> </w:t>
      </w:r>
    </w:p>
    <w:p w14:paraId="7697A1D1">
      <w:pPr>
        <w:pStyle w:val="3"/>
        <w:spacing w:line="240" w:lineRule="atLeast"/>
        <w:ind w:left="0" w:leftChars="0" w:firstLine="0" w:firstLineChars="0"/>
        <w:rPr>
          <w:rFonts w:hint="eastAsia" w:eastAsia="宋体"/>
          <w:b w:val="0"/>
          <w:bCs/>
          <w:color w:val="auto"/>
          <w:szCs w:val="21"/>
          <w:highlight w:val="none"/>
          <w:lang w:val="en-US" w:eastAsia="zh-CN"/>
        </w:rPr>
      </w:pPr>
      <w:r>
        <w:rPr>
          <w:rFonts w:hint="eastAsia"/>
          <w:b w:val="0"/>
          <w:bCs/>
          <w:color w:val="auto"/>
          <w:szCs w:val="21"/>
          <w:highlight w:val="none"/>
        </w:rPr>
        <w:t>参考文献不少于15条，小五字体，单倍行间距</w:t>
      </w:r>
      <w:r>
        <w:rPr>
          <w:rFonts w:hint="eastAsia"/>
          <w:b w:val="0"/>
          <w:bCs/>
          <w:color w:val="auto"/>
          <w:szCs w:val="21"/>
          <w:highlight w:val="none"/>
          <w:lang w:eastAsia="zh-CN"/>
        </w:rPr>
        <w:t>。</w:t>
      </w:r>
    </w:p>
    <w:p w14:paraId="5C2AFD87">
      <w:pPr>
        <w:pStyle w:val="3"/>
        <w:ind w:firstLine="0"/>
        <w:rPr>
          <w:rFonts w:hint="eastAsia" w:eastAsia="宋体"/>
          <w:bCs/>
          <w:color w:val="auto"/>
          <w:sz w:val="21"/>
          <w:szCs w:val="21"/>
          <w:highlight w:val="none"/>
          <w:lang w:eastAsia="zh-CN"/>
        </w:rPr>
      </w:pPr>
      <w:r>
        <w:rPr>
          <w:b/>
          <w:color w:val="auto"/>
          <w:sz w:val="21"/>
          <w:szCs w:val="21"/>
          <w:highlight w:val="none"/>
        </w:rPr>
        <w:t>期刊论文：</w:t>
      </w:r>
      <w:r>
        <w:rPr>
          <w:bCs/>
          <w:color w:val="auto"/>
          <w:sz w:val="21"/>
          <w:szCs w:val="21"/>
          <w:highlight w:val="none"/>
        </w:rPr>
        <w:t>[序号] 作者. 题名[J]. 刊名, 年, 卷(期): 起止页码.</w:t>
      </w:r>
      <w:r>
        <w:rPr>
          <w:rFonts w:hint="eastAsia"/>
          <w:bCs/>
          <w:color w:val="auto"/>
          <w:sz w:val="21"/>
          <w:szCs w:val="21"/>
          <w:highlight w:val="none"/>
          <w:lang w:eastAsia="zh-CN"/>
        </w:rPr>
        <w:t>（</w:t>
      </w:r>
      <w:r>
        <w:rPr>
          <w:rFonts w:hint="eastAsia"/>
          <w:bCs/>
          <w:color w:val="auto"/>
          <w:sz w:val="21"/>
          <w:szCs w:val="21"/>
          <w:highlight w:val="none"/>
          <w:lang w:val="en-US" w:eastAsia="zh-CN"/>
        </w:rPr>
        <w:t>前三位作者书写姓名，其余用et al.</w:t>
      </w:r>
      <w:r>
        <w:rPr>
          <w:rFonts w:hint="eastAsia"/>
          <w:bCs/>
          <w:color w:val="auto"/>
          <w:sz w:val="21"/>
          <w:szCs w:val="21"/>
          <w:highlight w:val="none"/>
          <w:lang w:eastAsia="zh-CN"/>
        </w:rPr>
        <w:t>）</w:t>
      </w:r>
    </w:p>
    <w:p w14:paraId="3DA32E0A">
      <w:pPr>
        <w:pStyle w:val="3"/>
        <w:ind w:firstLine="0"/>
        <w:rPr>
          <w:bCs/>
          <w:color w:val="auto"/>
          <w:sz w:val="21"/>
          <w:szCs w:val="21"/>
          <w:highlight w:val="none"/>
        </w:rPr>
      </w:pPr>
      <w:r>
        <w:rPr>
          <w:b/>
          <w:color w:val="auto"/>
          <w:sz w:val="21"/>
          <w:szCs w:val="21"/>
          <w:highlight w:val="none"/>
        </w:rPr>
        <w:t>专著图书：</w:t>
      </w:r>
      <w:r>
        <w:rPr>
          <w:bCs/>
          <w:color w:val="auto"/>
          <w:sz w:val="21"/>
          <w:szCs w:val="21"/>
          <w:highlight w:val="none"/>
        </w:rPr>
        <w:t>[序号] 作者. 书名[M]. 出版地: 出版者, 出版年.</w:t>
      </w:r>
    </w:p>
    <w:p w14:paraId="36F26525">
      <w:pPr>
        <w:pStyle w:val="8"/>
        <w:rPr>
          <w:rFonts w:ascii="Times New Roman" w:hAnsi="Times New Roman" w:cs="Times New Roman"/>
          <w:bCs/>
          <w:color w:val="auto"/>
          <w:sz w:val="21"/>
          <w:szCs w:val="21"/>
          <w:highlight w:val="none"/>
        </w:rPr>
      </w:pPr>
      <w:r>
        <w:rPr>
          <w:b/>
          <w:color w:val="auto"/>
          <w:sz w:val="21"/>
          <w:szCs w:val="21"/>
          <w:highlight w:val="none"/>
        </w:rPr>
        <w:t>学位论文：</w:t>
      </w:r>
      <w:r>
        <w:rPr>
          <w:rFonts w:ascii="Times New Roman" w:hAnsi="Times New Roman" w:eastAsia="宋体" w:cs="Times New Roman"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[序号]</w:t>
      </w:r>
      <w:r>
        <w:rPr>
          <w:bCs/>
          <w:color w:val="auto"/>
          <w:sz w:val="21"/>
          <w:szCs w:val="21"/>
          <w:highlight w:val="none"/>
        </w:rPr>
        <w:t xml:space="preserve"> 作者. 题名</w:t>
      </w:r>
      <w:r>
        <w:rPr>
          <w:rFonts w:ascii="Times New Roman" w:hAnsi="Times New Roman" w:eastAsia="宋体" w:cs="Times New Roman"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[D]</w:t>
      </w:r>
      <w:r>
        <w:rPr>
          <w:bCs/>
          <w:color w:val="auto"/>
          <w:sz w:val="21"/>
          <w:szCs w:val="21"/>
          <w:highlight w:val="none"/>
        </w:rPr>
        <w:t>. 保存地点: 保存单位, 年份.</w:t>
      </w:r>
    </w:p>
    <w:p w14:paraId="4D05FB86">
      <w:pPr>
        <w:pStyle w:val="3"/>
        <w:ind w:firstLine="0"/>
        <w:rPr>
          <w:bCs/>
          <w:color w:val="auto"/>
          <w:sz w:val="21"/>
          <w:szCs w:val="21"/>
          <w:highlight w:val="none"/>
        </w:rPr>
      </w:pPr>
      <w:r>
        <w:rPr>
          <w:b/>
          <w:color w:val="auto"/>
          <w:sz w:val="21"/>
          <w:szCs w:val="21"/>
          <w:highlight w:val="none"/>
        </w:rPr>
        <w:t>专</w:t>
      </w:r>
      <w:r>
        <w:rPr>
          <w:rFonts w:hint="eastAsia"/>
          <w:b/>
          <w:color w:val="auto"/>
          <w:sz w:val="21"/>
          <w:szCs w:val="21"/>
          <w:highlight w:val="none"/>
          <w:lang w:val="en-US" w:eastAsia="zh-CN"/>
        </w:rPr>
        <w:t xml:space="preserve">    </w:t>
      </w:r>
      <w:r>
        <w:rPr>
          <w:b/>
          <w:color w:val="auto"/>
          <w:sz w:val="21"/>
          <w:szCs w:val="21"/>
          <w:highlight w:val="none"/>
        </w:rPr>
        <w:t>利：</w:t>
      </w:r>
      <w:r>
        <w:rPr>
          <w:bCs/>
          <w:color w:val="auto"/>
          <w:sz w:val="21"/>
          <w:szCs w:val="21"/>
          <w:highlight w:val="none"/>
        </w:rPr>
        <w:t>[序号] 专利所有者. 专利题名: 专利号[P]. 公告日期或公开日期.</w:t>
      </w:r>
    </w:p>
    <w:p w14:paraId="01AE9187">
      <w:pPr>
        <w:pStyle w:val="3"/>
        <w:ind w:firstLine="0"/>
        <w:rPr>
          <w:bCs/>
          <w:color w:val="auto"/>
          <w:sz w:val="21"/>
          <w:szCs w:val="21"/>
          <w:highlight w:val="none"/>
        </w:rPr>
      </w:pPr>
      <w:r>
        <w:rPr>
          <w:b/>
          <w:color w:val="auto"/>
          <w:sz w:val="21"/>
          <w:szCs w:val="21"/>
          <w:highlight w:val="none"/>
        </w:rPr>
        <w:t>技术标准：</w:t>
      </w:r>
      <w:r>
        <w:rPr>
          <w:bCs/>
          <w:color w:val="auto"/>
          <w:sz w:val="21"/>
          <w:szCs w:val="21"/>
          <w:highlight w:val="none"/>
        </w:rPr>
        <w:t>[序号] 标准编号, 标准名称[S].</w:t>
      </w:r>
    </w:p>
    <w:p w14:paraId="2B8CE6EC">
      <w:pPr>
        <w:pStyle w:val="3"/>
        <w:spacing w:line="240" w:lineRule="atLeast"/>
        <w:ind w:firstLine="0"/>
        <w:rPr>
          <w:bCs/>
          <w:color w:val="auto"/>
          <w:szCs w:val="21"/>
          <w:highlight w:val="none"/>
        </w:rPr>
      </w:pPr>
    </w:p>
    <w:p w14:paraId="701DC52C">
      <w:pPr>
        <w:pStyle w:val="3"/>
        <w:spacing w:line="240" w:lineRule="atLeast"/>
        <w:ind w:firstLine="0"/>
        <w:rPr>
          <w:bCs/>
          <w:color w:val="auto"/>
          <w:szCs w:val="21"/>
          <w:highlight w:val="none"/>
        </w:rPr>
      </w:pPr>
      <w:r>
        <w:rPr>
          <w:rFonts w:hint="eastAsia"/>
          <w:bCs/>
          <w:color w:val="auto"/>
          <w:szCs w:val="21"/>
          <w:highlight w:val="none"/>
        </w:rPr>
        <w:t>示例参考：</w:t>
      </w:r>
    </w:p>
    <w:p w14:paraId="2FD933C3">
      <w:pPr>
        <w:pStyle w:val="3"/>
        <w:ind w:firstLine="0"/>
        <w:rPr>
          <w:bCs/>
          <w:color w:val="auto"/>
          <w:szCs w:val="21"/>
          <w:highlight w:val="none"/>
        </w:rPr>
      </w:pPr>
      <w:r>
        <w:rPr>
          <w:rFonts w:hint="eastAsia"/>
          <w:bCs/>
          <w:color w:val="auto"/>
          <w:szCs w:val="21"/>
          <w:highlight w:val="none"/>
        </w:rPr>
        <w:t>[</w:t>
      </w:r>
      <w:r>
        <w:rPr>
          <w:bCs/>
          <w:color w:val="auto"/>
          <w:szCs w:val="21"/>
          <w:highlight w:val="none"/>
        </w:rPr>
        <w:t xml:space="preserve">1] </w:t>
      </w:r>
      <w:r>
        <w:rPr>
          <w:rFonts w:hint="eastAsia"/>
          <w:bCs/>
          <w:color w:val="auto"/>
          <w:szCs w:val="21"/>
          <w:highlight w:val="none"/>
        </w:rPr>
        <w:t>陈益超</w:t>
      </w:r>
      <w:r>
        <w:rPr>
          <w:bCs/>
          <w:color w:val="auto"/>
          <w:szCs w:val="21"/>
          <w:highlight w:val="none"/>
        </w:rPr>
        <w:t xml:space="preserve">, </w:t>
      </w:r>
      <w:r>
        <w:rPr>
          <w:rFonts w:hint="eastAsia"/>
          <w:bCs/>
          <w:color w:val="auto"/>
          <w:szCs w:val="21"/>
          <w:highlight w:val="none"/>
        </w:rPr>
        <w:t>颜文斌</w:t>
      </w:r>
      <w:r>
        <w:rPr>
          <w:bCs/>
          <w:color w:val="auto"/>
          <w:szCs w:val="21"/>
          <w:highlight w:val="none"/>
        </w:rPr>
        <w:t xml:space="preserve">, </w:t>
      </w:r>
      <w:r>
        <w:rPr>
          <w:rFonts w:hint="eastAsia"/>
          <w:bCs/>
          <w:color w:val="auto"/>
          <w:szCs w:val="21"/>
          <w:highlight w:val="none"/>
        </w:rPr>
        <w:t>石爱华</w:t>
      </w:r>
      <w:r>
        <w:rPr>
          <w:bCs/>
          <w:color w:val="auto"/>
          <w:szCs w:val="21"/>
          <w:highlight w:val="none"/>
        </w:rPr>
        <w:t xml:space="preserve">, </w:t>
      </w:r>
      <w:r>
        <w:rPr>
          <w:rFonts w:hint="eastAsia"/>
          <w:bCs/>
          <w:color w:val="auto"/>
          <w:szCs w:val="21"/>
          <w:highlight w:val="none"/>
        </w:rPr>
        <w:t>等.</w:t>
      </w:r>
      <w:r>
        <w:rPr>
          <w:rFonts w:hint="eastAsia"/>
          <w:bCs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/>
          <w:bCs/>
          <w:color w:val="auto"/>
          <w:szCs w:val="21"/>
          <w:highlight w:val="none"/>
        </w:rPr>
        <w:t>微波辅热-甲醇还原法制备M相二氧化钒粉体[</w:t>
      </w:r>
      <w:r>
        <w:rPr>
          <w:bCs/>
          <w:color w:val="auto"/>
          <w:szCs w:val="21"/>
          <w:highlight w:val="none"/>
        </w:rPr>
        <w:t>J]</w:t>
      </w:r>
      <w:r>
        <w:rPr>
          <w:rFonts w:hint="eastAsia"/>
          <w:bCs/>
          <w:color w:val="auto"/>
          <w:szCs w:val="21"/>
          <w:highlight w:val="none"/>
        </w:rPr>
        <w:t>.</w:t>
      </w:r>
      <w:r>
        <w:rPr>
          <w:bCs/>
          <w:color w:val="auto"/>
          <w:szCs w:val="21"/>
          <w:highlight w:val="none"/>
        </w:rPr>
        <w:t xml:space="preserve"> </w:t>
      </w:r>
      <w:r>
        <w:rPr>
          <w:rFonts w:hint="eastAsia"/>
          <w:bCs/>
          <w:color w:val="auto"/>
          <w:szCs w:val="21"/>
          <w:highlight w:val="none"/>
        </w:rPr>
        <w:t>材料科学与工艺</w:t>
      </w:r>
      <w:r>
        <w:rPr>
          <w:bCs/>
          <w:color w:val="auto"/>
          <w:szCs w:val="21"/>
          <w:highlight w:val="none"/>
        </w:rPr>
        <w:t xml:space="preserve">, </w:t>
      </w:r>
      <w:r>
        <w:rPr>
          <w:rFonts w:hint="eastAsia"/>
          <w:bCs/>
          <w:color w:val="auto"/>
          <w:szCs w:val="21"/>
          <w:highlight w:val="none"/>
        </w:rPr>
        <w:t>2019,</w:t>
      </w:r>
      <w:r>
        <w:rPr>
          <w:rFonts w:hint="eastAsia"/>
          <w:bCs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/>
          <w:bCs/>
          <w:color w:val="auto"/>
          <w:szCs w:val="21"/>
          <w:highlight w:val="none"/>
        </w:rPr>
        <w:t>27(3):</w:t>
      </w:r>
      <w:r>
        <w:rPr>
          <w:rFonts w:hint="eastAsia"/>
          <w:bCs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/>
          <w:bCs/>
          <w:color w:val="auto"/>
          <w:szCs w:val="21"/>
          <w:highlight w:val="none"/>
        </w:rPr>
        <w:t>41-46.</w:t>
      </w:r>
    </w:p>
    <w:p w14:paraId="14661212">
      <w:pPr>
        <w:pStyle w:val="24"/>
        <w:spacing w:line="240" w:lineRule="auto"/>
        <w:ind w:firstLine="0" w:firstLineChars="0"/>
        <w:jc w:val="left"/>
        <w:rPr>
          <w:rFonts w:ascii="Times New Roman" w:hAnsi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/>
          <w:color w:val="auto"/>
          <w:kern w:val="0"/>
          <w:szCs w:val="21"/>
          <w:highlight w:val="none"/>
        </w:rPr>
        <w:t>[2] S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>CROSATI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 xml:space="preserve"> B, G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>ARCHE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 xml:space="preserve"> J.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 xml:space="preserve"> 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 xml:space="preserve">Lithium batteries: 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>s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>tatus,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 xml:space="preserve"> 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>prospects and future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 xml:space="preserve">[J]. 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>Journal of Power Sources, 2010, 195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>(9):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 xml:space="preserve"> 2419</w:t>
      </w:r>
      <w:r>
        <w:rPr>
          <w:rFonts w:hint="eastAsia"/>
          <w:bCs/>
          <w:color w:val="auto"/>
          <w:szCs w:val="21"/>
          <w:highlight w:val="none"/>
        </w:rPr>
        <w:t>-</w:t>
      </w:r>
      <w:r>
        <w:rPr>
          <w:rFonts w:ascii="Times New Roman" w:hAnsi="Times New Roman"/>
          <w:color w:val="auto"/>
          <w:kern w:val="0"/>
          <w:szCs w:val="21"/>
          <w:highlight w:val="none"/>
        </w:rPr>
        <w:t>2430</w:t>
      </w:r>
      <w:r>
        <w:rPr>
          <w:rFonts w:hint="eastAsia" w:ascii="Times New Roman" w:hAnsi="Times New Roman"/>
          <w:color w:val="auto"/>
          <w:kern w:val="0"/>
          <w:szCs w:val="21"/>
          <w:highlight w:val="none"/>
        </w:rPr>
        <w:t>.</w:t>
      </w:r>
    </w:p>
    <w:p w14:paraId="7697A1D4">
      <w:pPr>
        <w:rPr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[</w:t>
      </w:r>
      <w:r>
        <w:rPr>
          <w:rFonts w:hint="eastAsia"/>
          <w:color w:val="auto"/>
          <w:szCs w:val="21"/>
          <w:highlight w:val="none"/>
          <w:lang w:val="en-US" w:eastAsia="zh-CN"/>
        </w:rPr>
        <w:t>3</w:t>
      </w:r>
      <w:r>
        <w:rPr>
          <w:rFonts w:hint="eastAsia"/>
          <w:color w:val="auto"/>
          <w:szCs w:val="21"/>
          <w:highlight w:val="none"/>
        </w:rPr>
        <w:t xml:space="preserve">] </w:t>
      </w:r>
      <w:r>
        <w:rPr>
          <w:rFonts w:hAnsi="宋体"/>
          <w:color w:val="auto"/>
          <w:szCs w:val="21"/>
          <w:highlight w:val="none"/>
        </w:rPr>
        <w:t>张颂阳</w:t>
      </w:r>
      <w:r>
        <w:rPr>
          <w:color w:val="auto"/>
          <w:szCs w:val="21"/>
          <w:highlight w:val="none"/>
        </w:rPr>
        <w:t xml:space="preserve">. </w:t>
      </w:r>
      <w:r>
        <w:rPr>
          <w:rFonts w:hAnsi="宋体"/>
          <w:color w:val="auto"/>
          <w:szCs w:val="21"/>
          <w:highlight w:val="none"/>
        </w:rPr>
        <w:t>半固态镁合金铸轧成形技术</w:t>
      </w:r>
      <w:r>
        <w:rPr>
          <w:color w:val="auto"/>
          <w:szCs w:val="21"/>
          <w:highlight w:val="none"/>
        </w:rPr>
        <w:t xml:space="preserve">[M]. </w:t>
      </w:r>
      <w:r>
        <w:rPr>
          <w:rFonts w:hAnsi="宋体"/>
          <w:color w:val="auto"/>
          <w:szCs w:val="21"/>
          <w:highlight w:val="none"/>
        </w:rPr>
        <w:t>北京</w:t>
      </w:r>
      <w:r>
        <w:rPr>
          <w:color w:val="auto"/>
          <w:szCs w:val="21"/>
          <w:highlight w:val="none"/>
        </w:rPr>
        <w:t xml:space="preserve">: </w:t>
      </w:r>
      <w:r>
        <w:rPr>
          <w:rFonts w:hAnsi="宋体"/>
          <w:color w:val="auto"/>
          <w:szCs w:val="21"/>
          <w:highlight w:val="none"/>
        </w:rPr>
        <w:t>冶金工业出版社</w:t>
      </w:r>
      <w:r>
        <w:rPr>
          <w:color w:val="auto"/>
          <w:szCs w:val="21"/>
          <w:highlight w:val="none"/>
        </w:rPr>
        <w:t>, 2008.</w:t>
      </w:r>
    </w:p>
    <w:p w14:paraId="2F1E2678">
      <w:pPr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[</w:t>
      </w:r>
      <w:r>
        <w:rPr>
          <w:rFonts w:hint="eastAsia"/>
          <w:color w:val="auto"/>
          <w:szCs w:val="21"/>
          <w:highlight w:val="none"/>
          <w:lang w:val="en-US" w:eastAsia="zh-CN"/>
        </w:rPr>
        <w:t>4</w:t>
      </w:r>
      <w:r>
        <w:rPr>
          <w:rFonts w:hint="eastAsia"/>
          <w:color w:val="auto"/>
          <w:szCs w:val="21"/>
          <w:highlight w:val="none"/>
        </w:rPr>
        <w:t>] 向紫琪. Cu-Al</w:t>
      </w:r>
      <w:r>
        <w:rPr>
          <w:rFonts w:hint="eastAsia"/>
          <w:color w:val="auto"/>
          <w:szCs w:val="21"/>
          <w:highlight w:val="none"/>
          <w:vertAlign w:val="subscript"/>
          <w:lang w:val="en-US" w:eastAsia="zh-CN"/>
        </w:rPr>
        <w:t>2</w:t>
      </w:r>
      <w:r>
        <w:rPr>
          <w:rFonts w:hint="eastAsia"/>
          <w:color w:val="auto"/>
          <w:szCs w:val="21"/>
          <w:highlight w:val="none"/>
        </w:rPr>
        <w:t>O</w:t>
      </w:r>
      <w:r>
        <w:rPr>
          <w:rFonts w:hint="eastAsia"/>
          <w:color w:val="auto"/>
          <w:szCs w:val="21"/>
          <w:highlight w:val="none"/>
          <w:vertAlign w:val="subscript"/>
          <w:lang w:val="en-US" w:eastAsia="zh-CN"/>
        </w:rPr>
        <w:t>3</w:t>
      </w:r>
      <w:r>
        <w:rPr>
          <w:rFonts w:hint="eastAsia"/>
          <w:color w:val="auto"/>
          <w:szCs w:val="21"/>
          <w:highlight w:val="none"/>
        </w:rPr>
        <w:t>弥散强化铜合金的组织和高温力学性能研究[D]. 长沙</w:t>
      </w:r>
      <w:r>
        <w:rPr>
          <w:color w:val="auto"/>
          <w:szCs w:val="21"/>
          <w:highlight w:val="none"/>
        </w:rPr>
        <w:t xml:space="preserve">: </w:t>
      </w:r>
      <w:r>
        <w:rPr>
          <w:rFonts w:hint="eastAsia"/>
          <w:color w:val="auto"/>
          <w:szCs w:val="21"/>
          <w:highlight w:val="none"/>
        </w:rPr>
        <w:t>中南大学</w:t>
      </w:r>
      <w:r>
        <w:rPr>
          <w:color w:val="auto"/>
          <w:szCs w:val="21"/>
          <w:highlight w:val="none"/>
        </w:rPr>
        <w:t xml:space="preserve">, </w:t>
      </w:r>
      <w:r>
        <w:rPr>
          <w:rFonts w:hint="eastAsia"/>
          <w:color w:val="auto"/>
          <w:szCs w:val="21"/>
          <w:highlight w:val="none"/>
        </w:rPr>
        <w:t>2014.</w:t>
      </w:r>
    </w:p>
    <w:p w14:paraId="7697A1D5">
      <w:pPr>
        <w:rPr>
          <w:rFonts w:hint="eastAsia" w:hAnsi="宋体"/>
          <w:color w:val="auto"/>
          <w:szCs w:val="21"/>
          <w:highlight w:val="none"/>
          <w:lang w:val="en-US" w:eastAsia="zh-CN"/>
        </w:rPr>
      </w:pPr>
      <w:r>
        <w:rPr>
          <w:color w:val="auto"/>
          <w:szCs w:val="21"/>
          <w:highlight w:val="none"/>
        </w:rPr>
        <w:t>[</w:t>
      </w:r>
      <w:r>
        <w:rPr>
          <w:rFonts w:hint="eastAsia"/>
          <w:color w:val="auto"/>
          <w:szCs w:val="21"/>
          <w:highlight w:val="none"/>
          <w:lang w:val="en-US" w:eastAsia="zh-CN"/>
        </w:rPr>
        <w:t>5</w:t>
      </w:r>
      <w:r>
        <w:rPr>
          <w:color w:val="auto"/>
          <w:szCs w:val="21"/>
          <w:highlight w:val="none"/>
        </w:rPr>
        <w:t>]</w:t>
      </w:r>
      <w:r>
        <w:rPr>
          <w:rFonts w:hint="eastAsia"/>
          <w:color w:val="auto"/>
          <w:szCs w:val="21"/>
          <w:highlight w:val="none"/>
        </w:rPr>
        <w:t xml:space="preserve"> </w:t>
      </w:r>
      <w:r>
        <w:rPr>
          <w:rFonts w:hAnsi="宋体"/>
          <w:color w:val="auto"/>
          <w:szCs w:val="21"/>
          <w:highlight w:val="none"/>
        </w:rPr>
        <w:t>孙逸成</w:t>
      </w:r>
      <w:r>
        <w:rPr>
          <w:color w:val="auto"/>
          <w:szCs w:val="21"/>
          <w:highlight w:val="none"/>
        </w:rPr>
        <w:t xml:space="preserve">, </w:t>
      </w:r>
      <w:r>
        <w:rPr>
          <w:rFonts w:hAnsi="宋体"/>
          <w:color w:val="auto"/>
          <w:szCs w:val="21"/>
          <w:highlight w:val="none"/>
        </w:rPr>
        <w:t>张无量</w:t>
      </w:r>
      <w:r>
        <w:rPr>
          <w:color w:val="auto"/>
          <w:szCs w:val="21"/>
          <w:highlight w:val="none"/>
        </w:rPr>
        <w:t xml:space="preserve">, </w:t>
      </w:r>
      <w:r>
        <w:rPr>
          <w:rFonts w:hAnsi="宋体"/>
          <w:color w:val="auto"/>
          <w:szCs w:val="21"/>
          <w:highlight w:val="none"/>
        </w:rPr>
        <w:t>唐尔伟</w:t>
      </w:r>
      <w:r>
        <w:rPr>
          <w:color w:val="auto"/>
          <w:szCs w:val="21"/>
          <w:highlight w:val="none"/>
        </w:rPr>
        <w:t xml:space="preserve">. </w:t>
      </w:r>
      <w:r>
        <w:rPr>
          <w:rFonts w:hAnsi="宋体"/>
          <w:color w:val="auto"/>
          <w:szCs w:val="21"/>
          <w:highlight w:val="none"/>
        </w:rPr>
        <w:t>一种采用半熔挤压法制备镁合金板生产线</w:t>
      </w:r>
      <w:r>
        <w:rPr>
          <w:color w:val="auto"/>
          <w:szCs w:val="21"/>
          <w:highlight w:val="none"/>
        </w:rPr>
        <w:t xml:space="preserve">: </w:t>
      </w:r>
      <w:r>
        <w:rPr>
          <w:rFonts w:hint="eastAsia"/>
          <w:color w:val="auto"/>
          <w:szCs w:val="21"/>
          <w:highlight w:val="none"/>
        </w:rPr>
        <w:t xml:space="preserve">中国, </w:t>
      </w:r>
      <w:r>
        <w:rPr>
          <w:color w:val="auto"/>
          <w:szCs w:val="21"/>
          <w:highlight w:val="none"/>
        </w:rPr>
        <w:t>CN201220527496.6[P]</w:t>
      </w:r>
      <w:r>
        <w:rPr>
          <w:rFonts w:hAnsi="宋体"/>
          <w:color w:val="auto"/>
          <w:szCs w:val="21"/>
          <w:highlight w:val="none"/>
        </w:rPr>
        <w:t>. 2012-10-15.</w:t>
      </w:r>
    </w:p>
    <w:p w14:paraId="05C5F847">
      <w:pPr>
        <w:rPr>
          <w:color w:val="auto"/>
          <w:szCs w:val="21"/>
          <w:highlight w:val="none"/>
        </w:rPr>
      </w:pPr>
      <w:r>
        <w:rPr>
          <w:color w:val="auto"/>
          <w:szCs w:val="21"/>
          <w:highlight w:val="none"/>
        </w:rPr>
        <w:t>[</w:t>
      </w:r>
      <w:r>
        <w:rPr>
          <w:rFonts w:hint="eastAsia"/>
          <w:color w:val="auto"/>
          <w:szCs w:val="21"/>
          <w:highlight w:val="none"/>
          <w:lang w:val="en-US" w:eastAsia="zh-CN"/>
        </w:rPr>
        <w:t>6</w:t>
      </w:r>
      <w:r>
        <w:rPr>
          <w:color w:val="auto"/>
          <w:szCs w:val="21"/>
          <w:highlight w:val="none"/>
        </w:rPr>
        <w:t>] GB/T 3620.1</w:t>
      </w:r>
      <w:r>
        <w:rPr>
          <w:rFonts w:hint="eastAsia"/>
          <w:color w:val="auto"/>
          <w:szCs w:val="21"/>
          <w:highlight w:val="none"/>
          <w:lang w:val="en-US" w:eastAsia="zh-CN"/>
        </w:rPr>
        <w:t>-</w:t>
      </w:r>
      <w:r>
        <w:rPr>
          <w:color w:val="auto"/>
          <w:szCs w:val="21"/>
          <w:highlight w:val="none"/>
        </w:rPr>
        <w:t>2016, 钛及钛合金牌号和化学成分[S].</w:t>
      </w:r>
    </w:p>
    <w:p w14:paraId="48100A4D">
      <w:pPr>
        <w:rPr>
          <w:color w:val="auto"/>
          <w:szCs w:val="21"/>
          <w:highlight w:val="none"/>
        </w:rPr>
      </w:pPr>
    </w:p>
    <w:p w14:paraId="0B967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textAlignment w:val="auto"/>
        <w:rPr>
          <w:rFonts w:hint="eastAsia" w:ascii="黑体" w:hAnsi="黑体" w:eastAsia="黑体" w:cs="黑体"/>
          <w:b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28"/>
          <w:szCs w:val="28"/>
          <w:highlight w:val="none"/>
        </w:rPr>
        <w:t>4 投稿及版面费</w:t>
      </w:r>
    </w:p>
    <w:p w14:paraId="0B605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textAlignment w:val="auto"/>
        <w:rPr>
          <w:rFonts w:hint="eastAsia" w:ascii="黑体" w:hAnsi="黑体" w:eastAsia="黑体" w:cs="黑体"/>
          <w:bCs/>
          <w:color w:val="auto"/>
          <w:sz w:val="28"/>
          <w:szCs w:val="28"/>
          <w:highlight w:val="none"/>
        </w:rPr>
      </w:pPr>
    </w:p>
    <w:p w14:paraId="1B4F1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textAlignment w:val="auto"/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</w:rPr>
        <w:t>.1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</w:rPr>
        <w:t>稿件收费情况</w:t>
      </w:r>
    </w:p>
    <w:p w14:paraId="4C455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本刊以版面数量收费，以期刊官网文件为准。</w:t>
      </w:r>
    </w:p>
    <w:p w14:paraId="70182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</w:rPr>
      </w:pPr>
    </w:p>
    <w:p w14:paraId="25A51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textAlignment w:val="auto"/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  <w:t>4.2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  <w:t xml:space="preserve">投稿及稿件处理  </w:t>
      </w:r>
    </w:p>
    <w:p w14:paraId="0BC8D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firstLine="420" w:firstLineChars="200"/>
        <w:textAlignment w:val="auto"/>
        <w:rPr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请勿一稿多投，稿件投</w:t>
      </w:r>
      <w:r>
        <w:rPr>
          <w:rFonts w:hint="eastAsia"/>
          <w:color w:val="auto"/>
          <w:szCs w:val="21"/>
          <w:highlight w:val="none"/>
        </w:rPr>
        <w:t>出</w:t>
      </w:r>
      <w:r>
        <w:rPr>
          <w:rFonts w:hint="eastAsia"/>
          <w:color w:val="auto"/>
          <w:szCs w:val="21"/>
          <w:highlight w:val="none"/>
          <w:lang w:val="en-US" w:eastAsia="zh-CN"/>
        </w:rPr>
        <w:t>1个</w:t>
      </w:r>
      <w:r>
        <w:rPr>
          <w:rFonts w:hint="eastAsia"/>
          <w:color w:val="auto"/>
          <w:szCs w:val="21"/>
          <w:highlight w:val="none"/>
        </w:rPr>
        <w:t>月后未见答复，请电话021-55781550询问。本刊概不退还原稿，请自留底稿。若来稿不符本刊规范，将先行退改。</w:t>
      </w:r>
    </w:p>
    <w:p w14:paraId="333D2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firstLine="420" w:firstLineChars="200"/>
        <w:textAlignment w:val="auto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凡向本刊投稿即转让版权</w:t>
      </w:r>
      <w:r>
        <w:rPr>
          <w:rFonts w:hint="eastAsia"/>
          <w:color w:val="auto"/>
          <w:szCs w:val="21"/>
          <w:highlight w:val="none"/>
          <w:lang w:val="en-US" w:eastAsia="zh-CN"/>
        </w:rPr>
        <w:t>于</w:t>
      </w:r>
      <w:r>
        <w:rPr>
          <w:rFonts w:hint="eastAsia"/>
          <w:color w:val="auto"/>
          <w:szCs w:val="21"/>
          <w:highlight w:val="none"/>
        </w:rPr>
        <w:t>本刊，且本刊对来稿有修改、编辑及专有使用权。</w:t>
      </w:r>
    </w:p>
    <w:p w14:paraId="533B0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firstLine="420" w:firstLineChars="200"/>
        <w:textAlignment w:val="auto"/>
        <w:rPr>
          <w:rFonts w:hint="eastAsia"/>
          <w:color w:val="auto"/>
          <w:szCs w:val="21"/>
          <w:highlight w:val="none"/>
        </w:rPr>
      </w:pPr>
    </w:p>
    <w:p w14:paraId="4D265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textAlignment w:val="auto"/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  <w:t>4.3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Cs w:val="21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color w:val="auto"/>
          <w:spacing w:val="-2"/>
          <w:sz w:val="21"/>
          <w:szCs w:val="21"/>
          <w:highlight w:val="none"/>
          <w:lang w:val="en-US" w:eastAsia="zh-CN"/>
        </w:rPr>
        <w:t>联系地址</w:t>
      </w:r>
    </w:p>
    <w:p w14:paraId="31A7E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firstLine="420"/>
        <w:textAlignment w:val="auto"/>
        <w:rPr>
          <w:rFonts w:hint="eastAsia"/>
          <w:color w:val="auto"/>
          <w:szCs w:val="21"/>
          <w:highlight w:val="none"/>
          <w:lang w:eastAsia="zh-CN"/>
        </w:rPr>
      </w:pPr>
      <w:r>
        <w:rPr>
          <w:rFonts w:hint="eastAsia"/>
          <w:color w:val="auto"/>
          <w:szCs w:val="21"/>
          <w:highlight w:val="none"/>
        </w:rPr>
        <w:t>上海市军工路516号《有色金属材料与工程》编辑部，邮编200093</w:t>
      </w:r>
      <w:r>
        <w:rPr>
          <w:rFonts w:hint="eastAsia"/>
          <w:color w:val="auto"/>
          <w:szCs w:val="21"/>
          <w:highlight w:val="none"/>
          <w:lang w:val="en-US" w:eastAsia="zh-CN"/>
        </w:rPr>
        <w:t xml:space="preserve">; </w:t>
      </w:r>
      <w:r>
        <w:rPr>
          <w:rFonts w:hint="eastAsia"/>
          <w:color w:val="auto"/>
          <w:szCs w:val="21"/>
          <w:highlight w:val="none"/>
        </w:rPr>
        <w:t>Q</w:t>
      </w:r>
      <w:r>
        <w:rPr>
          <w:color w:val="auto"/>
          <w:szCs w:val="21"/>
          <w:highlight w:val="none"/>
        </w:rPr>
        <w:t>Q</w:t>
      </w:r>
      <w:r>
        <w:rPr>
          <w:rFonts w:hint="eastAsia"/>
          <w:color w:val="auto"/>
          <w:szCs w:val="21"/>
          <w:highlight w:val="none"/>
          <w:lang w:val="en-US" w:eastAsia="zh-CN"/>
        </w:rPr>
        <w:t xml:space="preserve">: </w:t>
      </w:r>
      <w:r>
        <w:rPr>
          <w:color w:val="auto"/>
          <w:szCs w:val="21"/>
          <w:highlight w:val="none"/>
        </w:rPr>
        <w:t>3176753874</w:t>
      </w:r>
      <w:r>
        <w:rPr>
          <w:rFonts w:hint="eastAsia"/>
          <w:color w:val="auto"/>
          <w:szCs w:val="21"/>
          <w:highlight w:val="none"/>
          <w:lang w:eastAsia="zh-CN"/>
        </w:rPr>
        <w:t>；</w:t>
      </w:r>
    </w:p>
    <w:p w14:paraId="796E98E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 w:rightChars="0"/>
        <w:textAlignment w:val="auto"/>
        <w:rPr>
          <w:color w:val="auto"/>
          <w:szCs w:val="21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E-</w:t>
      </w:r>
      <w:r>
        <w:rPr>
          <w:rFonts w:hint="eastAsia"/>
          <w:color w:val="auto"/>
          <w:highlight w:val="none"/>
        </w:rPr>
        <w:t>mail</w:t>
      </w:r>
      <w:r>
        <w:rPr>
          <w:rFonts w:hint="eastAsia"/>
          <w:color w:val="auto"/>
          <w:highlight w:val="none"/>
          <w:lang w:val="en-US" w:eastAsia="zh-CN"/>
        </w:rPr>
        <w:t xml:space="preserve">: </w:t>
      </w:r>
      <w:r>
        <w:rPr>
          <w:rFonts w:hint="eastAsia"/>
          <w:color w:val="auto"/>
          <w:highlight w:val="none"/>
        </w:rPr>
        <w:t>nmme@usst.edu.cn</w:t>
      </w:r>
    </w:p>
    <w:p w14:paraId="38FCC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jc w:val="right"/>
        <w:textAlignment w:val="auto"/>
        <w:rPr>
          <w:b/>
          <w:color w:val="auto"/>
          <w:sz w:val="22"/>
          <w:szCs w:val="22"/>
          <w:highlight w:val="none"/>
        </w:rPr>
      </w:pPr>
    </w:p>
    <w:p w14:paraId="7697A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right="0"/>
        <w:jc w:val="right"/>
        <w:textAlignment w:val="auto"/>
        <w:rPr>
          <w:b/>
          <w:color w:val="auto"/>
          <w:sz w:val="22"/>
          <w:szCs w:val="22"/>
          <w:highlight w:val="none"/>
        </w:rPr>
      </w:pPr>
      <w:r>
        <w:rPr>
          <w:rFonts w:hint="eastAsia"/>
          <w:b/>
          <w:color w:val="auto"/>
          <w:sz w:val="22"/>
          <w:szCs w:val="22"/>
          <w:highlight w:val="none"/>
        </w:rPr>
        <w:t>本规范最终解释权归《有色金属材料与工程》编辑部所有</w:t>
      </w:r>
    </w:p>
    <w:sectPr>
      <w:headerReference r:id="rId11" w:type="first"/>
      <w:footerReference r:id="rId12" w:type="first"/>
      <w:headerReference r:id="rId9" w:type="default"/>
      <w:headerReference r:id="rId10" w:type="even"/>
      <w:type w:val="continuous"/>
      <w:pgSz w:w="11906" w:h="16838"/>
      <w:pgMar w:top="1304" w:right="907" w:bottom="1247" w:left="964" w:header="720" w:footer="71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0909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488D9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488D9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33442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E9">
    <w:pPr>
      <w:pStyle w:val="5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396D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396D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  <w:szCs w:val="18"/>
      </w:rPr>
      <w:t>_______________________________</w:t>
    </w:r>
  </w:p>
  <w:p w14:paraId="7697A1EA">
    <w:pPr>
      <w:pStyle w:val="7"/>
      <w:rPr>
        <w:sz w:val="18"/>
        <w:szCs w:val="18"/>
      </w:rPr>
    </w:pPr>
    <w:r>
      <w:rPr>
        <w:rFonts w:ascii="Times New Roman" w:hAnsi="Times New Roman" w:eastAsia="黑体" w:cs="Times New Roman"/>
        <w:bCs/>
        <w:kern w:val="2"/>
        <w:sz w:val="18"/>
        <w:szCs w:val="18"/>
        <w:lang w:val="en-US" w:eastAsia="zh-CN" w:bidi="ar-SA"/>
      </w:rPr>
      <w:t>收稿日期</w:t>
    </w:r>
    <w:r>
      <w:rPr>
        <w:sz w:val="18"/>
        <w:szCs w:val="18"/>
      </w:rPr>
      <w:t>：202</w:t>
    </w:r>
    <w:r>
      <w:rPr>
        <w:rFonts w:hint="eastAsia"/>
        <w:sz w:val="18"/>
        <w:szCs w:val="18"/>
        <w:lang w:val="en-US" w:eastAsia="zh-CN"/>
      </w:rPr>
      <w:t>6</w:t>
    </w:r>
    <w:r>
      <w:rPr>
        <w:sz w:val="18"/>
        <w:szCs w:val="18"/>
      </w:rPr>
      <w:t>-01-12</w:t>
    </w:r>
  </w:p>
  <w:p w14:paraId="7697A1EB">
    <w:pPr>
      <w:pStyle w:val="7"/>
      <w:rPr>
        <w:sz w:val="18"/>
        <w:szCs w:val="18"/>
      </w:rPr>
    </w:pPr>
    <w:r>
      <w:rPr>
        <w:rFonts w:ascii="Times New Roman" w:hAnsi="Times New Roman" w:eastAsia="黑体" w:cs="Times New Roman"/>
        <w:bCs/>
        <w:kern w:val="2"/>
        <w:sz w:val="18"/>
        <w:szCs w:val="18"/>
        <w:lang w:val="en-US" w:eastAsia="zh-CN" w:bidi="ar-SA"/>
      </w:rPr>
      <w:t>基金项目</w:t>
    </w:r>
    <w:r>
      <w:rPr>
        <w:sz w:val="18"/>
        <w:szCs w:val="18"/>
      </w:rPr>
      <w:t>：国家自然科学基金资助项目（1234567）</w:t>
    </w:r>
  </w:p>
  <w:p w14:paraId="7697A1EC">
    <w:pPr>
      <w:pStyle w:val="7"/>
      <w:rPr>
        <w:sz w:val="18"/>
        <w:szCs w:val="18"/>
      </w:rPr>
    </w:pPr>
    <w:r>
      <w:rPr>
        <w:rFonts w:ascii="Times New Roman" w:hAnsi="Times New Roman" w:eastAsia="黑体" w:cs="Times New Roman"/>
        <w:bCs/>
        <w:kern w:val="2"/>
        <w:sz w:val="18"/>
        <w:szCs w:val="18"/>
        <w:lang w:val="en-US" w:eastAsia="zh-CN" w:bidi="ar-SA"/>
      </w:rPr>
      <w:t>第一作者</w:t>
    </w:r>
    <w:r>
      <w:rPr>
        <w:sz w:val="18"/>
        <w:szCs w:val="18"/>
      </w:rPr>
      <w:t>：李磊（1974—），男，硕士研究生。研究方向：高强高导铝合金。 E-mail：</w:t>
    </w:r>
    <w:r>
      <w:rPr>
        <w:rFonts w:hint="eastAsia"/>
        <w:sz w:val="18"/>
        <w:szCs w:val="18"/>
      </w:rPr>
      <w:t>X</w:t>
    </w:r>
    <w:r>
      <w:rPr>
        <w:sz w:val="18"/>
        <w:szCs w:val="18"/>
      </w:rPr>
      <w:t>XXXXXX</w:t>
    </w:r>
  </w:p>
  <w:p w14:paraId="7697A1ED">
    <w:pPr>
      <w:pStyle w:val="5"/>
      <w:ind w:left="85" w:hanging="90" w:hangingChars="50"/>
      <w:rPr>
        <w:rFonts w:eastAsia="黑体"/>
        <w:bCs/>
        <w:sz w:val="18"/>
        <w:szCs w:val="18"/>
      </w:rPr>
    </w:pPr>
    <w:r>
      <w:rPr>
        <w:rFonts w:eastAsia="黑体"/>
        <w:bCs/>
        <w:sz w:val="18"/>
        <w:szCs w:val="18"/>
      </w:rPr>
      <w:t>通信作者：</w: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t>韩梅梅</w:t>
    </w:r>
    <w:r>
      <w:rPr>
        <w:sz w:val="18"/>
        <w:szCs w:val="18"/>
      </w:rPr>
      <w:t>（1974—），女，教授。研究方向：高强高导铝合金。 E-mail：</w:t>
    </w:r>
    <w:r>
      <w:rPr>
        <w:rFonts w:hint="eastAsia"/>
        <w:sz w:val="18"/>
        <w:szCs w:val="18"/>
        <w:highlight w:val="none"/>
      </w:rPr>
      <w:t>X</w:t>
    </w:r>
    <w:r>
      <w:rPr>
        <w:sz w:val="18"/>
        <w:szCs w:val="18"/>
        <w:highlight w:val="none"/>
      </w:rPr>
      <w:t>XXXXXX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F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67577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67577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697A1F4">
    <w:pPr>
      <w:rPr>
        <w:rFonts w:eastAsia="黑体"/>
        <w:sz w:val="18"/>
      </w:rPr>
    </w:pPr>
  </w:p>
  <w:p w14:paraId="7697A1F5">
    <w:pPr>
      <w:rPr>
        <w:rFonts w:eastAsia="黑体"/>
        <w:sz w:val="18"/>
      </w:rPr>
    </w:pPr>
  </w:p>
  <w:p w14:paraId="7697A1F6">
    <w:pPr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E7">
    <w:pPr>
      <w:pStyle w:val="6"/>
      <w:rPr>
        <w:sz w:val="17"/>
      </w:rPr>
    </w:pPr>
    <w:r>
      <w:rPr>
        <w:rFonts w:hint="eastAsia" w:ascii="宋体" w:hAnsi="宋体"/>
        <w:sz w:val="17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E6">
    <w:pPr>
      <w:pStyle w:val="6"/>
      <w:ind w:firstLine="321" w:firstLineChars="100"/>
      <w:rPr>
        <w:b/>
        <w:sz w:val="32"/>
        <w:szCs w:val="32"/>
      </w:rPr>
    </w:pPr>
    <w:r>
      <w:rPr>
        <w:rFonts w:hint="eastAsia"/>
        <w:b/>
        <w:sz w:val="32"/>
        <w:szCs w:val="32"/>
      </w:rPr>
      <w:t>有色金属材料与工程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E8">
    <w:pPr>
      <w:pStyle w:val="6"/>
      <w:ind w:firstLine="321" w:firstLineChars="100"/>
      <w:rPr>
        <w:b/>
        <w:sz w:val="32"/>
        <w:szCs w:val="32"/>
      </w:rPr>
    </w:pPr>
    <w:r>
      <w:rPr>
        <w:rFonts w:hint="eastAsia"/>
        <w:b/>
        <w:sz w:val="32"/>
        <w:szCs w:val="32"/>
      </w:rPr>
      <w:t>有色金属材料与工程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F0">
    <w:pPr>
      <w:pStyle w:val="6"/>
      <w:ind w:right="360"/>
      <w:jc w:val="both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EE">
    <w:pPr>
      <w:pStyle w:val="6"/>
      <w:framePr w:wrap="around" w:vAnchor="text" w:hAnchor="margin" w:xAlign="outside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7697A1EF">
    <w:pPr>
      <w:pStyle w:val="6"/>
      <w:ind w:right="360" w:firstLine="360"/>
    </w:pPr>
    <w:r>
      <w:rPr>
        <w:rFonts w:hint="eastAsia"/>
      </w:rPr>
      <w:t xml:space="preserve">                                          有色金属材料与工程                                       29卷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A1F1">
    <w:pPr>
      <w:pStyle w:val="6"/>
      <w:ind w:right="360"/>
      <w:jc w:val="both"/>
    </w:pPr>
  </w:p>
  <w:p w14:paraId="7697A1F2">
    <w:pPr>
      <w:pStyle w:val="6"/>
      <w:ind w:right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8C"/>
    <w:rsid w:val="000515C1"/>
    <w:rsid w:val="0008444E"/>
    <w:rsid w:val="000853B2"/>
    <w:rsid w:val="00136196"/>
    <w:rsid w:val="00137313"/>
    <w:rsid w:val="001634F5"/>
    <w:rsid w:val="00176E3C"/>
    <w:rsid w:val="001C4BE9"/>
    <w:rsid w:val="001D67A6"/>
    <w:rsid w:val="001E549B"/>
    <w:rsid w:val="001F6FC6"/>
    <w:rsid w:val="00233C1A"/>
    <w:rsid w:val="00261015"/>
    <w:rsid w:val="002B4079"/>
    <w:rsid w:val="002D7AB8"/>
    <w:rsid w:val="003119A0"/>
    <w:rsid w:val="0034176B"/>
    <w:rsid w:val="00362283"/>
    <w:rsid w:val="003743D5"/>
    <w:rsid w:val="00447C2D"/>
    <w:rsid w:val="00520B67"/>
    <w:rsid w:val="005518E4"/>
    <w:rsid w:val="00634DCC"/>
    <w:rsid w:val="00670062"/>
    <w:rsid w:val="006E3A58"/>
    <w:rsid w:val="00724552"/>
    <w:rsid w:val="007E7345"/>
    <w:rsid w:val="007F7D97"/>
    <w:rsid w:val="00800ABE"/>
    <w:rsid w:val="00802762"/>
    <w:rsid w:val="00813257"/>
    <w:rsid w:val="008160A9"/>
    <w:rsid w:val="00863E70"/>
    <w:rsid w:val="00877CFB"/>
    <w:rsid w:val="008F5AFD"/>
    <w:rsid w:val="00933A8F"/>
    <w:rsid w:val="009C6A10"/>
    <w:rsid w:val="00A20428"/>
    <w:rsid w:val="00A5387B"/>
    <w:rsid w:val="00A8037F"/>
    <w:rsid w:val="00A8101B"/>
    <w:rsid w:val="00AC2DBA"/>
    <w:rsid w:val="00AC7F73"/>
    <w:rsid w:val="00B11F98"/>
    <w:rsid w:val="00B32D49"/>
    <w:rsid w:val="00B64D06"/>
    <w:rsid w:val="00B671D5"/>
    <w:rsid w:val="00B75B26"/>
    <w:rsid w:val="00B91040"/>
    <w:rsid w:val="00BC1169"/>
    <w:rsid w:val="00BC290F"/>
    <w:rsid w:val="00BD476F"/>
    <w:rsid w:val="00C27C47"/>
    <w:rsid w:val="00C34375"/>
    <w:rsid w:val="00C56F98"/>
    <w:rsid w:val="00CF161B"/>
    <w:rsid w:val="00CF468C"/>
    <w:rsid w:val="00D03532"/>
    <w:rsid w:val="00D11940"/>
    <w:rsid w:val="00D96BA5"/>
    <w:rsid w:val="00DA60DA"/>
    <w:rsid w:val="00DD2CDC"/>
    <w:rsid w:val="00E018E0"/>
    <w:rsid w:val="00E11CFF"/>
    <w:rsid w:val="00E33DD6"/>
    <w:rsid w:val="00E36F8C"/>
    <w:rsid w:val="00E40CA1"/>
    <w:rsid w:val="00E54A27"/>
    <w:rsid w:val="00EA4A8B"/>
    <w:rsid w:val="00FA59E1"/>
    <w:rsid w:val="00FC2061"/>
    <w:rsid w:val="00FC49BD"/>
    <w:rsid w:val="00FD092F"/>
    <w:rsid w:val="02B162F9"/>
    <w:rsid w:val="02D24776"/>
    <w:rsid w:val="097B150C"/>
    <w:rsid w:val="0B0F5706"/>
    <w:rsid w:val="0DFA22F1"/>
    <w:rsid w:val="0FE4669F"/>
    <w:rsid w:val="110C00AB"/>
    <w:rsid w:val="11E241DE"/>
    <w:rsid w:val="131D659F"/>
    <w:rsid w:val="173E5F0D"/>
    <w:rsid w:val="1D56088B"/>
    <w:rsid w:val="1DE57C61"/>
    <w:rsid w:val="1E3A545B"/>
    <w:rsid w:val="242872D7"/>
    <w:rsid w:val="25DF1492"/>
    <w:rsid w:val="263D499E"/>
    <w:rsid w:val="268C6E2B"/>
    <w:rsid w:val="2B6C5082"/>
    <w:rsid w:val="2D0C1E65"/>
    <w:rsid w:val="2E737CA4"/>
    <w:rsid w:val="2F955E22"/>
    <w:rsid w:val="320E21E2"/>
    <w:rsid w:val="35ED5CA7"/>
    <w:rsid w:val="382A442E"/>
    <w:rsid w:val="3CF94CFA"/>
    <w:rsid w:val="42F97D9C"/>
    <w:rsid w:val="434075BC"/>
    <w:rsid w:val="450929D1"/>
    <w:rsid w:val="45F37E2E"/>
    <w:rsid w:val="4B186E8F"/>
    <w:rsid w:val="4CB00EAD"/>
    <w:rsid w:val="4EE82583"/>
    <w:rsid w:val="51DA48EF"/>
    <w:rsid w:val="548C11A0"/>
    <w:rsid w:val="56D26C95"/>
    <w:rsid w:val="5E1F20B5"/>
    <w:rsid w:val="5F621BCE"/>
    <w:rsid w:val="623000AB"/>
    <w:rsid w:val="69553B02"/>
    <w:rsid w:val="69BD39B2"/>
    <w:rsid w:val="6C95005A"/>
    <w:rsid w:val="710028BF"/>
    <w:rsid w:val="72A3429E"/>
    <w:rsid w:val="7571063E"/>
    <w:rsid w:val="7EFC16E4"/>
    <w:rsid w:val="7F4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1"/>
    <w:qFormat/>
    <w:uiPriority w:val="0"/>
    <w:pPr>
      <w:snapToGrid w:val="0"/>
      <w:spacing w:line="250" w:lineRule="atLeast"/>
      <w:jc w:val="center"/>
    </w:pPr>
    <w:rPr>
      <w:sz w:val="20"/>
    </w:rPr>
  </w:style>
  <w:style w:type="paragraph" w:styleId="3">
    <w:name w:val="Body Text Indent"/>
    <w:basedOn w:val="1"/>
    <w:link w:val="20"/>
    <w:qFormat/>
    <w:uiPriority w:val="0"/>
    <w:pPr>
      <w:ind w:firstLine="315"/>
    </w:pPr>
    <w:rPr>
      <w:szCs w:val="24"/>
    </w:rPr>
  </w:style>
  <w:style w:type="paragraph" w:styleId="4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19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HTML Preformatted"/>
    <w:basedOn w:val="1"/>
    <w:link w:val="26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link w:val="22"/>
    <w:qFormat/>
    <w:uiPriority w:val="0"/>
    <w:pPr>
      <w:jc w:val="center"/>
    </w:pPr>
    <w:rPr>
      <w:sz w:val="28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字符"/>
    <w:basedOn w:val="13"/>
    <w:link w:val="6"/>
    <w:qFormat/>
    <w:uiPriority w:val="0"/>
    <w:rPr>
      <w:sz w:val="18"/>
      <w:szCs w:val="18"/>
    </w:rPr>
  </w:style>
  <w:style w:type="character" w:customStyle="1" w:styleId="18">
    <w:name w:val="页脚 字符"/>
    <w:basedOn w:val="13"/>
    <w:link w:val="5"/>
    <w:qFormat/>
    <w:uiPriority w:val="0"/>
    <w:rPr>
      <w:sz w:val="18"/>
      <w:szCs w:val="18"/>
    </w:rPr>
  </w:style>
  <w:style w:type="character" w:customStyle="1" w:styleId="19">
    <w:name w:val="脚注文本 字符"/>
    <w:basedOn w:val="13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缩进 字符"/>
    <w:basedOn w:val="13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1">
    <w:name w:val="正文文本 字符"/>
    <w:basedOn w:val="13"/>
    <w:link w:val="2"/>
    <w:qFormat/>
    <w:uiPriority w:val="0"/>
    <w:rPr>
      <w:rFonts w:ascii="Times New Roman" w:hAnsi="Times New Roman" w:eastAsia="宋体" w:cs="Times New Roman"/>
      <w:sz w:val="20"/>
      <w:szCs w:val="20"/>
    </w:rPr>
  </w:style>
  <w:style w:type="character" w:customStyle="1" w:styleId="22">
    <w:name w:val="标题 字符"/>
    <w:basedOn w:val="13"/>
    <w:link w:val="10"/>
    <w:qFormat/>
    <w:uiPriority w:val="0"/>
    <w:rPr>
      <w:rFonts w:ascii="Times New Roman" w:hAnsi="Times New Roman" w:eastAsia="宋体" w:cs="Times New Roman"/>
      <w:sz w:val="28"/>
      <w:szCs w:val="20"/>
    </w:rPr>
  </w:style>
  <w:style w:type="paragraph" w:customStyle="1" w:styleId="23">
    <w:name w:val="正文文本 31"/>
    <w:basedOn w:val="1"/>
    <w:qFormat/>
    <w:uiPriority w:val="0"/>
    <w:pPr>
      <w:adjustRightInd w:val="0"/>
      <w:jc w:val="left"/>
      <w:textAlignment w:val="baseline"/>
    </w:pPr>
    <w:rPr>
      <w:sz w:val="28"/>
    </w:rPr>
  </w:style>
  <w:style w:type="paragraph" w:styleId="24">
    <w:name w:val="List Paragraph"/>
    <w:basedOn w:val="1"/>
    <w:qFormat/>
    <w:uiPriority w:val="34"/>
    <w:pPr>
      <w:spacing w:line="360" w:lineRule="auto"/>
      <w:ind w:firstLine="200" w:firstLineChars="200"/>
    </w:pPr>
    <w:rPr>
      <w:rFonts w:ascii="Calibri" w:hAnsi="Calibri"/>
      <w:szCs w:val="22"/>
    </w:rPr>
  </w:style>
  <w:style w:type="character" w:customStyle="1" w:styleId="25">
    <w:name w:val="批注框文本 字符"/>
    <w:basedOn w:val="13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HTML 预设格式 字符"/>
    <w:basedOn w:val="13"/>
    <w:link w:val="8"/>
    <w:semiHidden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5.png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wmf"/><Relationship Id="rId14" Type="http://schemas.openxmlformats.org/officeDocument/2006/relationships/oleObject" Target="embeddings/oleObject1.bin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2015</Words>
  <Characters>3037</Characters>
  <Lines>78</Lines>
  <Paragraphs>148</Paragraphs>
  <TotalTime>4</TotalTime>
  <ScaleCrop>false</ScaleCrop>
  <LinksUpToDate>false</LinksUpToDate>
  <CharactersWithSpaces>3360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2026-06-19T15:58:00Z</dcterms:created>
  <dc:creator>USST</dc:creator>
  <cp:lastModifiedBy>编辑部</cp:lastModifiedBy>
  <dcterms:modified xsi:type="dcterms:W3CDTF">2026-10-16T09:44:34Z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4E22C46C844644A0AABF9BCEEBF93A9E_13</vt:lpwstr>
  </property>
  <property fmtid="{D5CDD505-2E9C-101B-9397-08002B2CF9AE}" pid="4" name="KSOTemplateDocerSaveRecord">
    <vt:lpwstr>eyJoZGlkIjoiNzA4YWIyYjU4MWY5ZTZlMzg1YWM2YWVhNGUwZTZiYWEiLCJ1c2VySWQiOiI1ODE4ODU1NzAifQ==</vt:lpwstr>
  </property>
</Properties>
</file>